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6BE" w14:textId="30D5BA90" w:rsidR="00ED762C" w:rsidRPr="00736486" w:rsidRDefault="004731BC" w:rsidP="00ED762C">
      <w:pPr>
        <w:rPr>
          <w:rFonts w:cs="Arial"/>
          <w:b/>
        </w:rPr>
      </w:pPr>
      <w:r>
        <w:rPr>
          <w:rFonts w:cs="Arial"/>
          <w:b/>
        </w:rPr>
        <w:t>TECHNICAL NOTE ADDENDUM:</w:t>
      </w:r>
      <w:r w:rsidR="003B2948" w:rsidRPr="003B2948">
        <w:rPr>
          <w:rFonts w:cs="Arial"/>
          <w:b/>
        </w:rPr>
        <w:t xml:space="preserve"> CHANGES </w:t>
      </w:r>
      <w:r>
        <w:rPr>
          <w:rFonts w:cs="Arial"/>
          <w:b/>
        </w:rPr>
        <w:t xml:space="preserve">MADE </w:t>
      </w:r>
      <w:r w:rsidR="003B2948" w:rsidRPr="003B2948">
        <w:rPr>
          <w:rFonts w:cs="Arial"/>
          <w:b/>
        </w:rPr>
        <w:t xml:space="preserve">TO </w:t>
      </w:r>
      <w:r w:rsidR="00ED762C" w:rsidRPr="003B2948">
        <w:rPr>
          <w:rFonts w:cs="Arial"/>
          <w:b/>
        </w:rPr>
        <w:fldChar w:fldCharType="begin"/>
      </w:r>
      <w:r w:rsidR="00ED762C" w:rsidRPr="003B2948">
        <w:rPr>
          <w:rFonts w:cs="Arial"/>
          <w:b/>
        </w:rPr>
        <w:instrText xml:space="preserve"> MERGEFIELD  TITLE  \* MERGEFORMAT </w:instrText>
      </w:r>
      <w:r w:rsidR="00ED762C" w:rsidRPr="003B2948">
        <w:rPr>
          <w:rFonts w:cs="Arial"/>
          <w:b/>
        </w:rPr>
        <w:fldChar w:fldCharType="separate"/>
      </w:r>
      <w:r w:rsidR="003B2948" w:rsidRPr="00736486">
        <w:rPr>
          <w:rFonts w:cs="Arial"/>
          <w:b/>
        </w:rPr>
        <w:t>NATIONAL INDICATORS ON GROWTH IN THE CULTURAL ECONOMY AND PEOPLE WORKING IN ARTS AND CULTURE</w:t>
      </w:r>
    </w:p>
    <w:p w14:paraId="25910505" w14:textId="7EFBDC3C" w:rsidR="00DC2083" w:rsidRPr="001C35C1" w:rsidRDefault="00ED762C" w:rsidP="003C4F1F">
      <w:pPr>
        <w:pStyle w:val="TOCHeading"/>
        <w:rPr>
          <w:rFonts w:ascii="Arial" w:hAnsi="Arial" w:cs="Arial"/>
          <w:color w:val="auto"/>
          <w:sz w:val="24"/>
          <w:szCs w:val="24"/>
          <w:lang w:val="en-GB"/>
        </w:rPr>
      </w:pPr>
      <w:r w:rsidRPr="003B2948">
        <w:rPr>
          <w:rFonts w:cs="Arial"/>
          <w:b w:val="0"/>
        </w:rPr>
        <w:fldChar w:fldCharType="end"/>
      </w:r>
      <w:r w:rsidR="001C35C1" w:rsidRPr="00B75327">
        <w:rPr>
          <w:rFonts w:ascii="Arial" w:hAnsi="Arial" w:cs="Arial"/>
          <w:color w:val="auto"/>
          <w:sz w:val="24"/>
          <w:szCs w:val="24"/>
          <w:lang w:val="en-GB"/>
        </w:rPr>
        <w:t>JUNE</w:t>
      </w:r>
      <w:r w:rsidR="001C35C1" w:rsidRPr="001C35C1">
        <w:rPr>
          <w:rFonts w:ascii="Arial" w:hAnsi="Arial" w:cs="Arial"/>
          <w:color w:val="auto"/>
          <w:sz w:val="24"/>
          <w:szCs w:val="24"/>
          <w:lang w:val="en-GB"/>
        </w:rPr>
        <w:t xml:space="preserve"> 2023</w:t>
      </w:r>
    </w:p>
    <w:p w14:paraId="68E1DC12" w14:textId="77777777" w:rsidR="00DC2083" w:rsidRDefault="00DC2083">
      <w:pPr>
        <w:rPr>
          <w:rFonts w:asciiTheme="majorHAnsi" w:eastAsiaTheme="majorEastAsia" w:hAnsiTheme="majorHAnsi" w:cstheme="majorBidi"/>
          <w:b/>
          <w:color w:val="2E74B5" w:themeColor="accent1" w:themeShade="BF"/>
          <w:sz w:val="32"/>
          <w:szCs w:val="32"/>
        </w:rPr>
      </w:pPr>
      <w:r>
        <w:br w:type="page"/>
      </w:r>
    </w:p>
    <w:sdt>
      <w:sdtPr>
        <w:rPr>
          <w:rFonts w:ascii="Arial" w:eastAsia="Times New Roman" w:hAnsi="Arial" w:cs="Times New Roman"/>
          <w:b w:val="0"/>
          <w:color w:val="auto"/>
          <w:sz w:val="24"/>
          <w:szCs w:val="20"/>
          <w:lang w:val="en-GB"/>
        </w:rPr>
        <w:id w:val="-1215576902"/>
        <w:docPartObj>
          <w:docPartGallery w:val="Table of Contents"/>
          <w:docPartUnique/>
        </w:docPartObj>
      </w:sdtPr>
      <w:sdtEndPr>
        <w:rPr>
          <w:bCs/>
        </w:rPr>
      </w:sdtEndPr>
      <w:sdtContent>
        <w:p w14:paraId="01798CE5" w14:textId="3AF44E29" w:rsidR="003C4F1F" w:rsidRPr="00DC2083" w:rsidRDefault="003C4F1F" w:rsidP="003C4F1F">
          <w:pPr>
            <w:pStyle w:val="TOCHeading"/>
            <w:rPr>
              <w:rFonts w:ascii="Arial" w:hAnsi="Arial" w:cs="Arial"/>
              <w:color w:val="auto"/>
              <w:sz w:val="28"/>
              <w:szCs w:val="28"/>
              <w:lang w:val="en-GB"/>
            </w:rPr>
          </w:pPr>
          <w:r w:rsidRPr="00DC2083">
            <w:rPr>
              <w:rFonts w:ascii="Arial" w:hAnsi="Arial" w:cs="Arial"/>
              <w:color w:val="auto"/>
              <w:sz w:val="28"/>
              <w:szCs w:val="28"/>
              <w:lang w:val="en-GB"/>
            </w:rPr>
            <w:t>Contents</w:t>
          </w:r>
        </w:p>
        <w:p w14:paraId="49675F13" w14:textId="77777777" w:rsidR="003C4F1F" w:rsidRPr="003C4F1F" w:rsidRDefault="003C4F1F" w:rsidP="003C4F1F"/>
        <w:p w14:paraId="10D3E7C9" w14:textId="77ABA641" w:rsidR="00C227DD" w:rsidRDefault="003C4F1F">
          <w:pPr>
            <w:pStyle w:val="TOC1"/>
            <w:rPr>
              <w:rFonts w:asciiTheme="minorHAnsi" w:eastAsiaTheme="minorEastAsia" w:hAnsiTheme="minorHAnsi" w:cstheme="minorBidi"/>
              <w:noProof/>
              <w:sz w:val="22"/>
              <w:szCs w:val="22"/>
              <w:lang w:eastAsia="en-GB"/>
            </w:rPr>
          </w:pPr>
          <w:r w:rsidRPr="004D57E1">
            <w:fldChar w:fldCharType="begin"/>
          </w:r>
          <w:r w:rsidRPr="004D57E1">
            <w:instrText xml:space="preserve"> TOC \o "1-3" \h \z \u </w:instrText>
          </w:r>
          <w:r w:rsidRPr="004D57E1">
            <w:fldChar w:fldCharType="separate"/>
          </w:r>
          <w:hyperlink w:anchor="_Toc131021889" w:history="1">
            <w:r w:rsidR="00C227DD" w:rsidRPr="00991071">
              <w:rPr>
                <w:rStyle w:val="Hyperlink"/>
                <w:noProof/>
              </w:rPr>
              <w:t>Summary</w:t>
            </w:r>
            <w:r w:rsidR="00C227DD">
              <w:rPr>
                <w:noProof/>
                <w:webHidden/>
              </w:rPr>
              <w:tab/>
            </w:r>
            <w:r w:rsidR="00C227DD">
              <w:rPr>
                <w:noProof/>
                <w:webHidden/>
              </w:rPr>
              <w:fldChar w:fldCharType="begin"/>
            </w:r>
            <w:r w:rsidR="00C227DD">
              <w:rPr>
                <w:noProof/>
                <w:webHidden/>
              </w:rPr>
              <w:instrText xml:space="preserve"> PAGEREF _Toc131021889 \h </w:instrText>
            </w:r>
            <w:r w:rsidR="00C227DD">
              <w:rPr>
                <w:noProof/>
                <w:webHidden/>
              </w:rPr>
            </w:r>
            <w:r w:rsidR="00C227DD">
              <w:rPr>
                <w:noProof/>
                <w:webHidden/>
              </w:rPr>
              <w:fldChar w:fldCharType="separate"/>
            </w:r>
            <w:r w:rsidR="00C227DD">
              <w:rPr>
                <w:noProof/>
                <w:webHidden/>
              </w:rPr>
              <w:t>3</w:t>
            </w:r>
            <w:r w:rsidR="00C227DD">
              <w:rPr>
                <w:noProof/>
                <w:webHidden/>
              </w:rPr>
              <w:fldChar w:fldCharType="end"/>
            </w:r>
          </w:hyperlink>
        </w:p>
        <w:p w14:paraId="2C6FBBB3" w14:textId="54F857AC" w:rsidR="00C227DD" w:rsidRDefault="00B75327">
          <w:pPr>
            <w:pStyle w:val="TOC2"/>
            <w:rPr>
              <w:rFonts w:asciiTheme="minorHAnsi" w:hAnsiTheme="minorHAnsi" w:cstheme="minorBidi"/>
              <w:noProof/>
            </w:rPr>
          </w:pPr>
          <w:hyperlink w:anchor="_Toc131021890" w:history="1">
            <w:r w:rsidR="00C227DD" w:rsidRPr="00991071">
              <w:rPr>
                <w:rStyle w:val="Hyperlink"/>
                <w:noProof/>
              </w:rPr>
              <w:t>Overview of changes</w:t>
            </w:r>
            <w:r w:rsidR="00C227DD">
              <w:rPr>
                <w:noProof/>
                <w:webHidden/>
              </w:rPr>
              <w:tab/>
            </w:r>
            <w:r w:rsidR="00C227DD">
              <w:rPr>
                <w:noProof/>
                <w:webHidden/>
              </w:rPr>
              <w:fldChar w:fldCharType="begin"/>
            </w:r>
            <w:r w:rsidR="00C227DD">
              <w:rPr>
                <w:noProof/>
                <w:webHidden/>
              </w:rPr>
              <w:instrText xml:space="preserve"> PAGEREF _Toc131021890 \h </w:instrText>
            </w:r>
            <w:r w:rsidR="00C227DD">
              <w:rPr>
                <w:noProof/>
                <w:webHidden/>
              </w:rPr>
            </w:r>
            <w:r w:rsidR="00C227DD">
              <w:rPr>
                <w:noProof/>
                <w:webHidden/>
              </w:rPr>
              <w:fldChar w:fldCharType="separate"/>
            </w:r>
            <w:r w:rsidR="00C227DD">
              <w:rPr>
                <w:noProof/>
                <w:webHidden/>
              </w:rPr>
              <w:t>3</w:t>
            </w:r>
            <w:r w:rsidR="00C227DD">
              <w:rPr>
                <w:noProof/>
                <w:webHidden/>
              </w:rPr>
              <w:fldChar w:fldCharType="end"/>
            </w:r>
          </w:hyperlink>
        </w:p>
        <w:p w14:paraId="558085E9" w14:textId="75532483" w:rsidR="00C227DD" w:rsidRDefault="00B75327">
          <w:pPr>
            <w:pStyle w:val="TOC2"/>
            <w:rPr>
              <w:rFonts w:asciiTheme="minorHAnsi" w:hAnsiTheme="minorHAnsi" w:cstheme="minorBidi"/>
              <w:noProof/>
            </w:rPr>
          </w:pPr>
          <w:hyperlink w:anchor="_Toc131021891" w:history="1">
            <w:r w:rsidR="00C227DD" w:rsidRPr="00991071">
              <w:rPr>
                <w:rStyle w:val="Hyperlink"/>
                <w:noProof/>
              </w:rPr>
              <w:t>Impact of changes</w:t>
            </w:r>
            <w:r w:rsidR="00C227DD">
              <w:rPr>
                <w:noProof/>
                <w:webHidden/>
              </w:rPr>
              <w:tab/>
            </w:r>
            <w:r w:rsidR="00C227DD">
              <w:rPr>
                <w:noProof/>
                <w:webHidden/>
              </w:rPr>
              <w:fldChar w:fldCharType="begin"/>
            </w:r>
            <w:r w:rsidR="00C227DD">
              <w:rPr>
                <w:noProof/>
                <w:webHidden/>
              </w:rPr>
              <w:instrText xml:space="preserve"> PAGEREF _Toc131021891 \h </w:instrText>
            </w:r>
            <w:r w:rsidR="00C227DD">
              <w:rPr>
                <w:noProof/>
                <w:webHidden/>
              </w:rPr>
            </w:r>
            <w:r w:rsidR="00C227DD">
              <w:rPr>
                <w:noProof/>
                <w:webHidden/>
              </w:rPr>
              <w:fldChar w:fldCharType="separate"/>
            </w:r>
            <w:r w:rsidR="00C227DD">
              <w:rPr>
                <w:noProof/>
                <w:webHidden/>
              </w:rPr>
              <w:t>3</w:t>
            </w:r>
            <w:r w:rsidR="00C227DD">
              <w:rPr>
                <w:noProof/>
                <w:webHidden/>
              </w:rPr>
              <w:fldChar w:fldCharType="end"/>
            </w:r>
          </w:hyperlink>
        </w:p>
        <w:p w14:paraId="3E9E2B37" w14:textId="57F4B14D" w:rsidR="00C227DD" w:rsidRDefault="00B75327">
          <w:pPr>
            <w:pStyle w:val="TOC1"/>
            <w:rPr>
              <w:rFonts w:asciiTheme="minorHAnsi" w:eastAsiaTheme="minorEastAsia" w:hAnsiTheme="minorHAnsi" w:cstheme="minorBidi"/>
              <w:noProof/>
              <w:sz w:val="22"/>
              <w:szCs w:val="22"/>
              <w:lang w:eastAsia="en-GB"/>
            </w:rPr>
          </w:pPr>
          <w:hyperlink w:anchor="_Toc131021892" w:history="1">
            <w:r w:rsidR="00C227DD" w:rsidRPr="00991071">
              <w:rPr>
                <w:rStyle w:val="Hyperlink"/>
                <w:bCs/>
                <w:noProof/>
              </w:rPr>
              <w:t>1.</w:t>
            </w:r>
            <w:r w:rsidR="00C227DD">
              <w:rPr>
                <w:rFonts w:asciiTheme="minorHAnsi" w:eastAsiaTheme="minorEastAsia" w:hAnsiTheme="minorHAnsi" w:cstheme="minorBidi"/>
                <w:noProof/>
                <w:sz w:val="22"/>
                <w:szCs w:val="22"/>
                <w:lang w:eastAsia="en-GB"/>
              </w:rPr>
              <w:tab/>
            </w:r>
            <w:r w:rsidR="00C227DD" w:rsidRPr="00991071">
              <w:rPr>
                <w:rStyle w:val="Hyperlink"/>
                <w:noProof/>
              </w:rPr>
              <w:t>Introduction and Purpose</w:t>
            </w:r>
            <w:r w:rsidR="00C227DD">
              <w:rPr>
                <w:noProof/>
                <w:webHidden/>
              </w:rPr>
              <w:tab/>
            </w:r>
            <w:r w:rsidR="00C227DD">
              <w:rPr>
                <w:noProof/>
                <w:webHidden/>
              </w:rPr>
              <w:fldChar w:fldCharType="begin"/>
            </w:r>
            <w:r w:rsidR="00C227DD">
              <w:rPr>
                <w:noProof/>
                <w:webHidden/>
              </w:rPr>
              <w:instrText xml:space="preserve"> PAGEREF _Toc131021892 \h </w:instrText>
            </w:r>
            <w:r w:rsidR="00C227DD">
              <w:rPr>
                <w:noProof/>
                <w:webHidden/>
              </w:rPr>
            </w:r>
            <w:r w:rsidR="00C227DD">
              <w:rPr>
                <w:noProof/>
                <w:webHidden/>
              </w:rPr>
              <w:fldChar w:fldCharType="separate"/>
            </w:r>
            <w:r w:rsidR="00C227DD">
              <w:rPr>
                <w:noProof/>
                <w:webHidden/>
              </w:rPr>
              <w:t>4</w:t>
            </w:r>
            <w:r w:rsidR="00C227DD">
              <w:rPr>
                <w:noProof/>
                <w:webHidden/>
              </w:rPr>
              <w:fldChar w:fldCharType="end"/>
            </w:r>
          </w:hyperlink>
        </w:p>
        <w:p w14:paraId="54ECA237" w14:textId="612A41A7" w:rsidR="00C227DD" w:rsidRDefault="00B75327">
          <w:pPr>
            <w:pStyle w:val="TOC1"/>
            <w:rPr>
              <w:rFonts w:asciiTheme="minorHAnsi" w:eastAsiaTheme="minorEastAsia" w:hAnsiTheme="minorHAnsi" w:cstheme="minorBidi"/>
              <w:noProof/>
              <w:sz w:val="22"/>
              <w:szCs w:val="22"/>
              <w:lang w:eastAsia="en-GB"/>
            </w:rPr>
          </w:pPr>
          <w:hyperlink w:anchor="_Toc131021893" w:history="1">
            <w:r w:rsidR="00C227DD" w:rsidRPr="00991071">
              <w:rPr>
                <w:rStyle w:val="Hyperlink"/>
                <w:bCs/>
                <w:noProof/>
              </w:rPr>
              <w:t>2.</w:t>
            </w:r>
            <w:r w:rsidR="00C227DD">
              <w:rPr>
                <w:rFonts w:asciiTheme="minorHAnsi" w:eastAsiaTheme="minorEastAsia" w:hAnsiTheme="minorHAnsi" w:cstheme="minorBidi"/>
                <w:noProof/>
                <w:sz w:val="22"/>
                <w:szCs w:val="22"/>
                <w:lang w:eastAsia="en-GB"/>
              </w:rPr>
              <w:tab/>
            </w:r>
            <w:r w:rsidR="00C227DD" w:rsidRPr="00991071">
              <w:rPr>
                <w:rStyle w:val="Hyperlink"/>
                <w:noProof/>
              </w:rPr>
              <w:t>Background and Context</w:t>
            </w:r>
            <w:r w:rsidR="00C227DD">
              <w:rPr>
                <w:noProof/>
                <w:webHidden/>
              </w:rPr>
              <w:tab/>
            </w:r>
            <w:r w:rsidR="00C227DD">
              <w:rPr>
                <w:noProof/>
                <w:webHidden/>
              </w:rPr>
              <w:fldChar w:fldCharType="begin"/>
            </w:r>
            <w:r w:rsidR="00C227DD">
              <w:rPr>
                <w:noProof/>
                <w:webHidden/>
              </w:rPr>
              <w:instrText xml:space="preserve"> PAGEREF _Toc131021893 \h </w:instrText>
            </w:r>
            <w:r w:rsidR="00C227DD">
              <w:rPr>
                <w:noProof/>
                <w:webHidden/>
              </w:rPr>
            </w:r>
            <w:r w:rsidR="00C227DD">
              <w:rPr>
                <w:noProof/>
                <w:webHidden/>
              </w:rPr>
              <w:fldChar w:fldCharType="separate"/>
            </w:r>
            <w:r w:rsidR="00C227DD">
              <w:rPr>
                <w:noProof/>
                <w:webHidden/>
              </w:rPr>
              <w:t>4</w:t>
            </w:r>
            <w:r w:rsidR="00C227DD">
              <w:rPr>
                <w:noProof/>
                <w:webHidden/>
              </w:rPr>
              <w:fldChar w:fldCharType="end"/>
            </w:r>
          </w:hyperlink>
        </w:p>
        <w:p w14:paraId="1517EB87" w14:textId="3B59543F" w:rsidR="00C227DD" w:rsidRDefault="00B75327">
          <w:pPr>
            <w:pStyle w:val="TOC1"/>
            <w:rPr>
              <w:rFonts w:asciiTheme="minorHAnsi" w:eastAsiaTheme="minorEastAsia" w:hAnsiTheme="minorHAnsi" w:cstheme="minorBidi"/>
              <w:noProof/>
              <w:sz w:val="22"/>
              <w:szCs w:val="22"/>
              <w:lang w:eastAsia="en-GB"/>
            </w:rPr>
          </w:pPr>
          <w:hyperlink w:anchor="_Toc131021894" w:history="1">
            <w:r w:rsidR="00C227DD" w:rsidRPr="00991071">
              <w:rPr>
                <w:rStyle w:val="Hyperlink"/>
                <w:bCs/>
                <w:noProof/>
              </w:rPr>
              <w:t>3.</w:t>
            </w:r>
            <w:r w:rsidR="00C227DD">
              <w:rPr>
                <w:rFonts w:asciiTheme="minorHAnsi" w:eastAsiaTheme="minorEastAsia" w:hAnsiTheme="minorHAnsi" w:cstheme="minorBidi"/>
                <w:noProof/>
                <w:sz w:val="22"/>
                <w:szCs w:val="22"/>
                <w:lang w:eastAsia="en-GB"/>
              </w:rPr>
              <w:tab/>
            </w:r>
            <w:r w:rsidR="00C227DD" w:rsidRPr="00991071">
              <w:rPr>
                <w:rStyle w:val="Hyperlink"/>
                <w:noProof/>
              </w:rPr>
              <w:t>Overview of changes</w:t>
            </w:r>
            <w:r w:rsidR="00C227DD">
              <w:rPr>
                <w:noProof/>
                <w:webHidden/>
              </w:rPr>
              <w:tab/>
            </w:r>
            <w:r w:rsidR="00C227DD">
              <w:rPr>
                <w:noProof/>
                <w:webHidden/>
              </w:rPr>
              <w:fldChar w:fldCharType="begin"/>
            </w:r>
            <w:r w:rsidR="00C227DD">
              <w:rPr>
                <w:noProof/>
                <w:webHidden/>
              </w:rPr>
              <w:instrText xml:space="preserve"> PAGEREF _Toc131021894 \h </w:instrText>
            </w:r>
            <w:r w:rsidR="00C227DD">
              <w:rPr>
                <w:noProof/>
                <w:webHidden/>
              </w:rPr>
            </w:r>
            <w:r w:rsidR="00C227DD">
              <w:rPr>
                <w:noProof/>
                <w:webHidden/>
              </w:rPr>
              <w:fldChar w:fldCharType="separate"/>
            </w:r>
            <w:r w:rsidR="00C227DD">
              <w:rPr>
                <w:noProof/>
                <w:webHidden/>
              </w:rPr>
              <w:t>5</w:t>
            </w:r>
            <w:r w:rsidR="00C227DD">
              <w:rPr>
                <w:noProof/>
                <w:webHidden/>
              </w:rPr>
              <w:fldChar w:fldCharType="end"/>
            </w:r>
          </w:hyperlink>
        </w:p>
        <w:p w14:paraId="51B361D3" w14:textId="4456957F" w:rsidR="00C227DD" w:rsidRDefault="00B75327">
          <w:pPr>
            <w:pStyle w:val="TOC2"/>
            <w:tabs>
              <w:tab w:val="left" w:pos="880"/>
            </w:tabs>
            <w:rPr>
              <w:rFonts w:asciiTheme="minorHAnsi" w:hAnsiTheme="minorHAnsi" w:cstheme="minorBidi"/>
              <w:noProof/>
            </w:rPr>
          </w:pPr>
          <w:hyperlink w:anchor="_Toc131021895" w:history="1">
            <w:r w:rsidR="00C227DD" w:rsidRPr="00991071">
              <w:rPr>
                <w:rStyle w:val="Hyperlink"/>
                <w:noProof/>
              </w:rPr>
              <w:t>3.1</w:t>
            </w:r>
            <w:r w:rsidR="00C227DD">
              <w:rPr>
                <w:rFonts w:asciiTheme="minorHAnsi" w:hAnsiTheme="minorHAnsi" w:cstheme="minorBidi"/>
                <w:noProof/>
              </w:rPr>
              <w:tab/>
            </w:r>
            <w:r w:rsidR="00C227DD" w:rsidRPr="00991071">
              <w:rPr>
                <w:rStyle w:val="Hyperlink"/>
                <w:noProof/>
              </w:rPr>
              <w:t>Broaden the definition of the sector</w:t>
            </w:r>
            <w:r w:rsidR="00C227DD">
              <w:rPr>
                <w:noProof/>
                <w:webHidden/>
              </w:rPr>
              <w:tab/>
            </w:r>
            <w:r w:rsidR="00C227DD">
              <w:rPr>
                <w:noProof/>
                <w:webHidden/>
              </w:rPr>
              <w:fldChar w:fldCharType="begin"/>
            </w:r>
            <w:r w:rsidR="00C227DD">
              <w:rPr>
                <w:noProof/>
                <w:webHidden/>
              </w:rPr>
              <w:instrText xml:space="preserve"> PAGEREF _Toc131021895 \h </w:instrText>
            </w:r>
            <w:r w:rsidR="00C227DD">
              <w:rPr>
                <w:noProof/>
                <w:webHidden/>
              </w:rPr>
            </w:r>
            <w:r w:rsidR="00C227DD">
              <w:rPr>
                <w:noProof/>
                <w:webHidden/>
              </w:rPr>
              <w:fldChar w:fldCharType="separate"/>
            </w:r>
            <w:r w:rsidR="00C227DD">
              <w:rPr>
                <w:noProof/>
                <w:webHidden/>
              </w:rPr>
              <w:t>5</w:t>
            </w:r>
            <w:r w:rsidR="00C227DD">
              <w:rPr>
                <w:noProof/>
                <w:webHidden/>
              </w:rPr>
              <w:fldChar w:fldCharType="end"/>
            </w:r>
          </w:hyperlink>
        </w:p>
        <w:p w14:paraId="69BCB5F0" w14:textId="786979D8" w:rsidR="00C227DD" w:rsidRDefault="00B75327">
          <w:pPr>
            <w:pStyle w:val="TOC2"/>
            <w:tabs>
              <w:tab w:val="left" w:pos="880"/>
            </w:tabs>
            <w:rPr>
              <w:rFonts w:asciiTheme="minorHAnsi" w:hAnsiTheme="minorHAnsi" w:cstheme="minorBidi"/>
              <w:noProof/>
            </w:rPr>
          </w:pPr>
          <w:hyperlink w:anchor="_Toc131021896" w:history="1">
            <w:r w:rsidR="00C227DD" w:rsidRPr="00991071">
              <w:rPr>
                <w:rStyle w:val="Hyperlink"/>
                <w:noProof/>
              </w:rPr>
              <w:t>3.2</w:t>
            </w:r>
            <w:r w:rsidR="00C227DD">
              <w:rPr>
                <w:rFonts w:asciiTheme="minorHAnsi" w:hAnsiTheme="minorHAnsi" w:cstheme="minorBidi"/>
                <w:noProof/>
              </w:rPr>
              <w:tab/>
            </w:r>
            <w:r w:rsidR="00C227DD" w:rsidRPr="00991071">
              <w:rPr>
                <w:rStyle w:val="Hyperlink"/>
                <w:noProof/>
              </w:rPr>
              <w:t>Change the data source for the cultural workforce indicator</w:t>
            </w:r>
            <w:r w:rsidR="00C227DD">
              <w:rPr>
                <w:noProof/>
                <w:webHidden/>
              </w:rPr>
              <w:tab/>
            </w:r>
            <w:r w:rsidR="00C227DD">
              <w:rPr>
                <w:noProof/>
                <w:webHidden/>
              </w:rPr>
              <w:fldChar w:fldCharType="begin"/>
            </w:r>
            <w:r w:rsidR="00C227DD">
              <w:rPr>
                <w:noProof/>
                <w:webHidden/>
              </w:rPr>
              <w:instrText xml:space="preserve"> PAGEREF _Toc131021896 \h </w:instrText>
            </w:r>
            <w:r w:rsidR="00C227DD">
              <w:rPr>
                <w:noProof/>
                <w:webHidden/>
              </w:rPr>
            </w:r>
            <w:r w:rsidR="00C227DD">
              <w:rPr>
                <w:noProof/>
                <w:webHidden/>
              </w:rPr>
              <w:fldChar w:fldCharType="separate"/>
            </w:r>
            <w:r w:rsidR="00C227DD">
              <w:rPr>
                <w:noProof/>
                <w:webHidden/>
              </w:rPr>
              <w:t>6</w:t>
            </w:r>
            <w:r w:rsidR="00C227DD">
              <w:rPr>
                <w:noProof/>
                <w:webHidden/>
              </w:rPr>
              <w:fldChar w:fldCharType="end"/>
            </w:r>
          </w:hyperlink>
        </w:p>
        <w:p w14:paraId="079CB3AC" w14:textId="04374712" w:rsidR="00C227DD" w:rsidRDefault="00B75327">
          <w:pPr>
            <w:pStyle w:val="TOC2"/>
            <w:tabs>
              <w:tab w:val="left" w:pos="880"/>
            </w:tabs>
            <w:rPr>
              <w:rFonts w:asciiTheme="minorHAnsi" w:hAnsiTheme="minorHAnsi" w:cstheme="minorBidi"/>
              <w:noProof/>
            </w:rPr>
          </w:pPr>
          <w:hyperlink w:anchor="_Toc131021897" w:history="1">
            <w:r w:rsidR="00C227DD" w:rsidRPr="00991071">
              <w:rPr>
                <w:rStyle w:val="Hyperlink"/>
                <w:noProof/>
              </w:rPr>
              <w:t>3.3</w:t>
            </w:r>
            <w:r w:rsidR="00C227DD">
              <w:rPr>
                <w:rFonts w:asciiTheme="minorHAnsi" w:hAnsiTheme="minorHAnsi" w:cstheme="minorBidi"/>
                <w:noProof/>
              </w:rPr>
              <w:tab/>
            </w:r>
            <w:r w:rsidR="00C227DD" w:rsidRPr="00991071">
              <w:rPr>
                <w:rStyle w:val="Hyperlink"/>
                <w:noProof/>
              </w:rPr>
              <w:t>Change the measurement of the culture economy indicator to real GVA</w:t>
            </w:r>
            <w:r w:rsidR="00C227DD">
              <w:rPr>
                <w:noProof/>
                <w:webHidden/>
              </w:rPr>
              <w:tab/>
            </w:r>
            <w:r w:rsidR="00C227DD">
              <w:rPr>
                <w:noProof/>
                <w:webHidden/>
              </w:rPr>
              <w:fldChar w:fldCharType="begin"/>
            </w:r>
            <w:r w:rsidR="00C227DD">
              <w:rPr>
                <w:noProof/>
                <w:webHidden/>
              </w:rPr>
              <w:instrText xml:space="preserve"> PAGEREF _Toc131021897 \h </w:instrText>
            </w:r>
            <w:r w:rsidR="00C227DD">
              <w:rPr>
                <w:noProof/>
                <w:webHidden/>
              </w:rPr>
            </w:r>
            <w:r w:rsidR="00C227DD">
              <w:rPr>
                <w:noProof/>
                <w:webHidden/>
              </w:rPr>
              <w:fldChar w:fldCharType="separate"/>
            </w:r>
            <w:r w:rsidR="00C227DD">
              <w:rPr>
                <w:noProof/>
                <w:webHidden/>
              </w:rPr>
              <w:t>8</w:t>
            </w:r>
            <w:r w:rsidR="00C227DD">
              <w:rPr>
                <w:noProof/>
                <w:webHidden/>
              </w:rPr>
              <w:fldChar w:fldCharType="end"/>
            </w:r>
          </w:hyperlink>
        </w:p>
        <w:p w14:paraId="21A58E26" w14:textId="546FD6A6" w:rsidR="00C227DD" w:rsidRDefault="00B75327">
          <w:pPr>
            <w:pStyle w:val="TOC2"/>
            <w:tabs>
              <w:tab w:val="left" w:pos="880"/>
            </w:tabs>
            <w:rPr>
              <w:rFonts w:asciiTheme="minorHAnsi" w:hAnsiTheme="minorHAnsi" w:cstheme="minorBidi"/>
              <w:noProof/>
            </w:rPr>
          </w:pPr>
          <w:hyperlink w:anchor="_Toc131021898" w:history="1">
            <w:r w:rsidR="00C227DD" w:rsidRPr="00991071">
              <w:rPr>
                <w:rStyle w:val="Hyperlink"/>
                <w:noProof/>
              </w:rPr>
              <w:t>3.4</w:t>
            </w:r>
            <w:r w:rsidR="00C227DD">
              <w:rPr>
                <w:rFonts w:asciiTheme="minorHAnsi" w:hAnsiTheme="minorHAnsi" w:cstheme="minorBidi"/>
                <w:noProof/>
              </w:rPr>
              <w:tab/>
            </w:r>
            <w:r w:rsidR="00C227DD" w:rsidRPr="00991071">
              <w:rPr>
                <w:rStyle w:val="Hyperlink"/>
                <w:noProof/>
              </w:rPr>
              <w:t>Revise the ‘criteria for change’ for both indicators</w:t>
            </w:r>
            <w:r w:rsidR="00C227DD">
              <w:rPr>
                <w:noProof/>
                <w:webHidden/>
              </w:rPr>
              <w:tab/>
            </w:r>
            <w:r w:rsidR="00C227DD">
              <w:rPr>
                <w:noProof/>
                <w:webHidden/>
              </w:rPr>
              <w:fldChar w:fldCharType="begin"/>
            </w:r>
            <w:r w:rsidR="00C227DD">
              <w:rPr>
                <w:noProof/>
                <w:webHidden/>
              </w:rPr>
              <w:instrText xml:space="preserve"> PAGEREF _Toc131021898 \h </w:instrText>
            </w:r>
            <w:r w:rsidR="00C227DD">
              <w:rPr>
                <w:noProof/>
                <w:webHidden/>
              </w:rPr>
            </w:r>
            <w:r w:rsidR="00C227DD">
              <w:rPr>
                <w:noProof/>
                <w:webHidden/>
              </w:rPr>
              <w:fldChar w:fldCharType="separate"/>
            </w:r>
            <w:r w:rsidR="00C227DD">
              <w:rPr>
                <w:noProof/>
                <w:webHidden/>
              </w:rPr>
              <w:t>9</w:t>
            </w:r>
            <w:r w:rsidR="00C227DD">
              <w:rPr>
                <w:noProof/>
                <w:webHidden/>
              </w:rPr>
              <w:fldChar w:fldCharType="end"/>
            </w:r>
          </w:hyperlink>
        </w:p>
        <w:p w14:paraId="674B1847" w14:textId="5936E616" w:rsidR="00C227DD" w:rsidRDefault="00B75327">
          <w:pPr>
            <w:pStyle w:val="TOC1"/>
            <w:rPr>
              <w:rFonts w:asciiTheme="minorHAnsi" w:eastAsiaTheme="minorEastAsia" w:hAnsiTheme="minorHAnsi" w:cstheme="minorBidi"/>
              <w:noProof/>
              <w:sz w:val="22"/>
              <w:szCs w:val="22"/>
              <w:lang w:eastAsia="en-GB"/>
            </w:rPr>
          </w:pPr>
          <w:hyperlink w:anchor="_Toc131021899" w:history="1">
            <w:r w:rsidR="00C227DD" w:rsidRPr="00991071">
              <w:rPr>
                <w:rStyle w:val="Hyperlink"/>
                <w:bCs/>
                <w:noProof/>
              </w:rPr>
              <w:t>4.</w:t>
            </w:r>
            <w:r w:rsidR="00C227DD">
              <w:rPr>
                <w:rFonts w:asciiTheme="minorHAnsi" w:eastAsiaTheme="minorEastAsia" w:hAnsiTheme="minorHAnsi" w:cstheme="minorBidi"/>
                <w:noProof/>
                <w:sz w:val="22"/>
                <w:szCs w:val="22"/>
                <w:lang w:eastAsia="en-GB"/>
              </w:rPr>
              <w:tab/>
            </w:r>
            <w:r w:rsidR="00C227DD" w:rsidRPr="00991071">
              <w:rPr>
                <w:rStyle w:val="Hyperlink"/>
                <w:noProof/>
              </w:rPr>
              <w:t>Acknowledgements</w:t>
            </w:r>
            <w:r w:rsidR="00C227DD">
              <w:rPr>
                <w:noProof/>
                <w:webHidden/>
              </w:rPr>
              <w:tab/>
            </w:r>
            <w:r w:rsidR="00C227DD">
              <w:rPr>
                <w:noProof/>
                <w:webHidden/>
              </w:rPr>
              <w:fldChar w:fldCharType="begin"/>
            </w:r>
            <w:r w:rsidR="00C227DD">
              <w:rPr>
                <w:noProof/>
                <w:webHidden/>
              </w:rPr>
              <w:instrText xml:space="preserve"> PAGEREF _Toc131021899 \h </w:instrText>
            </w:r>
            <w:r w:rsidR="00C227DD">
              <w:rPr>
                <w:noProof/>
                <w:webHidden/>
              </w:rPr>
            </w:r>
            <w:r w:rsidR="00C227DD">
              <w:rPr>
                <w:noProof/>
                <w:webHidden/>
              </w:rPr>
              <w:fldChar w:fldCharType="separate"/>
            </w:r>
            <w:r w:rsidR="00C227DD">
              <w:rPr>
                <w:noProof/>
                <w:webHidden/>
              </w:rPr>
              <w:t>11</w:t>
            </w:r>
            <w:r w:rsidR="00C227DD">
              <w:rPr>
                <w:noProof/>
                <w:webHidden/>
              </w:rPr>
              <w:fldChar w:fldCharType="end"/>
            </w:r>
          </w:hyperlink>
        </w:p>
        <w:p w14:paraId="75B7A1AD" w14:textId="158E1351" w:rsidR="003C4F1F" w:rsidRDefault="003C4F1F" w:rsidP="003C4F1F">
          <w:r w:rsidRPr="004D57E1">
            <w:rPr>
              <w:b/>
              <w:bCs/>
            </w:rPr>
            <w:fldChar w:fldCharType="end"/>
          </w:r>
        </w:p>
      </w:sdtContent>
    </w:sdt>
    <w:p w14:paraId="681A3C98" w14:textId="20C26C00" w:rsidR="00ED762C" w:rsidRDefault="00ED762C" w:rsidP="00ED762C">
      <w:pPr>
        <w:rPr>
          <w:rFonts w:cs="Arial"/>
          <w:b/>
        </w:rPr>
      </w:pPr>
    </w:p>
    <w:p w14:paraId="76D5D970" w14:textId="0503A217" w:rsidR="003C4F1F" w:rsidRDefault="003C4F1F" w:rsidP="00ED762C">
      <w:pPr>
        <w:rPr>
          <w:rFonts w:cs="Arial"/>
          <w:b/>
        </w:rPr>
      </w:pPr>
    </w:p>
    <w:p w14:paraId="776DFE54" w14:textId="51C2E2A3" w:rsidR="003C4F1F" w:rsidRDefault="003C4F1F" w:rsidP="00ED762C">
      <w:pPr>
        <w:rPr>
          <w:rFonts w:cs="Arial"/>
          <w:b/>
        </w:rPr>
      </w:pPr>
    </w:p>
    <w:p w14:paraId="3C7D6673" w14:textId="1CB2C218" w:rsidR="00DC2083" w:rsidRDefault="00DC2083">
      <w:pPr>
        <w:rPr>
          <w:rFonts w:cs="Arial"/>
          <w:b/>
        </w:rPr>
      </w:pPr>
      <w:r>
        <w:rPr>
          <w:rFonts w:cs="Arial"/>
          <w:b/>
        </w:rPr>
        <w:br w:type="page"/>
      </w:r>
    </w:p>
    <w:p w14:paraId="5191A15E" w14:textId="07DB9E31" w:rsidR="00885CE8" w:rsidRDefault="00885CE8" w:rsidP="007029A5">
      <w:pPr>
        <w:pStyle w:val="Heading1"/>
        <w:numPr>
          <w:ilvl w:val="0"/>
          <w:numId w:val="0"/>
        </w:numPr>
      </w:pPr>
      <w:bookmarkStart w:id="0" w:name="_Toc131021889"/>
      <w:r>
        <w:lastRenderedPageBreak/>
        <w:t>Summary</w:t>
      </w:r>
      <w:bookmarkEnd w:id="0"/>
    </w:p>
    <w:p w14:paraId="0CCD1430" w14:textId="2A12D528" w:rsidR="003A5FCF" w:rsidRDefault="003A5FCF" w:rsidP="003A5FCF"/>
    <w:p w14:paraId="2F882C8F" w14:textId="07C4F468" w:rsidR="004D57E1" w:rsidRDefault="004D57E1" w:rsidP="003A5FCF">
      <w:r w:rsidRPr="007D3C36">
        <w:rPr>
          <w:rFonts w:cs="Arial"/>
          <w:bCs/>
        </w:rPr>
        <w:t xml:space="preserve">This </w:t>
      </w:r>
      <w:r>
        <w:rPr>
          <w:rFonts w:cs="Arial"/>
          <w:bCs/>
        </w:rPr>
        <w:t>purpose of this note is to</w:t>
      </w:r>
      <w:r w:rsidRPr="007D3C36">
        <w:rPr>
          <w:rFonts w:cs="Arial"/>
          <w:bCs/>
        </w:rPr>
        <w:t xml:space="preserve"> provide a</w:t>
      </w:r>
      <w:r>
        <w:rPr>
          <w:rFonts w:cs="Arial"/>
          <w:bCs/>
        </w:rPr>
        <w:t xml:space="preserve"> summary </w:t>
      </w:r>
      <w:r w:rsidRPr="007D3C36">
        <w:rPr>
          <w:rFonts w:cs="Arial"/>
          <w:bCs/>
        </w:rPr>
        <w:t xml:space="preserve">of the </w:t>
      </w:r>
      <w:r>
        <w:rPr>
          <w:rFonts w:cs="Arial"/>
          <w:bCs/>
        </w:rPr>
        <w:t>changes that</w:t>
      </w:r>
      <w:r w:rsidRPr="007D3C36">
        <w:rPr>
          <w:rFonts w:cs="Arial"/>
          <w:bCs/>
        </w:rPr>
        <w:t xml:space="preserve"> </w:t>
      </w:r>
      <w:r w:rsidR="00AD5765">
        <w:rPr>
          <w:rFonts w:cs="Arial"/>
          <w:bCs/>
        </w:rPr>
        <w:t>have been</w:t>
      </w:r>
      <w:r w:rsidR="00AD5765" w:rsidRPr="007D3C36">
        <w:rPr>
          <w:rFonts w:cs="Arial"/>
          <w:bCs/>
        </w:rPr>
        <w:t xml:space="preserve"> </w:t>
      </w:r>
      <w:r w:rsidRPr="007D3C36">
        <w:rPr>
          <w:rFonts w:cs="Arial"/>
          <w:bCs/>
        </w:rPr>
        <w:t>made to the National Performance Framework (NPF) National Indicators on ‘Growth in the cultural economy’ and ‘People working in arts and culture’</w:t>
      </w:r>
      <w:r>
        <w:rPr>
          <w:rFonts w:cs="Arial"/>
          <w:bCs/>
        </w:rPr>
        <w:t>.</w:t>
      </w:r>
    </w:p>
    <w:p w14:paraId="39FD0029" w14:textId="77777777" w:rsidR="004D57E1" w:rsidRDefault="004D57E1" w:rsidP="003A5FCF"/>
    <w:p w14:paraId="3AC87C18" w14:textId="011F956D" w:rsidR="003A5FCF" w:rsidRPr="00736486" w:rsidRDefault="003A5FCF" w:rsidP="007029A5">
      <w:pPr>
        <w:pStyle w:val="Heading2"/>
        <w:numPr>
          <w:ilvl w:val="0"/>
          <w:numId w:val="0"/>
        </w:numPr>
      </w:pPr>
      <w:bookmarkStart w:id="1" w:name="_Toc131021890"/>
      <w:r>
        <w:t>Overview of changes</w:t>
      </w:r>
      <w:bookmarkEnd w:id="1"/>
    </w:p>
    <w:p w14:paraId="384D68FB" w14:textId="77777777" w:rsidR="003A5FCF" w:rsidRPr="00736486" w:rsidRDefault="003A5FCF" w:rsidP="003A5FCF">
      <w:pPr>
        <w:rPr>
          <w:rFonts w:cs="Arial"/>
          <w:b/>
        </w:rPr>
      </w:pPr>
    </w:p>
    <w:p w14:paraId="0CC12ADF" w14:textId="0D2FBCF4" w:rsidR="003A5FCF" w:rsidRPr="00736486" w:rsidRDefault="005377A4" w:rsidP="005377A4">
      <w:r>
        <w:t xml:space="preserve">Following their introduction to the National Performance Framework (NPF) in 2018, the ‘Growth in the cultural economy’ and ‘People working in arts and culture’ indicators initially used temporary measures to monitor progress. Since then, Scottish Government officials have being working with key stakeholder groups </w:t>
      </w:r>
      <w:r w:rsidR="00982102">
        <w:t>to develop an improved set of measures for these indicators.</w:t>
      </w:r>
      <w:r>
        <w:t xml:space="preserve"> </w:t>
      </w:r>
      <w:r w:rsidR="00982102">
        <w:t>These</w:t>
      </w:r>
      <w:r w:rsidR="003A5FCF" w:rsidRPr="00736486">
        <w:rPr>
          <w:bCs/>
        </w:rPr>
        <w:t xml:space="preserve"> changes </w:t>
      </w:r>
      <w:r w:rsidR="00982102">
        <w:rPr>
          <w:bCs/>
        </w:rPr>
        <w:t>are set out below</w:t>
      </w:r>
      <w:r w:rsidR="003A5FCF" w:rsidRPr="00736486">
        <w:t>:</w:t>
      </w:r>
    </w:p>
    <w:p w14:paraId="69965DA3" w14:textId="77777777" w:rsidR="003A5FCF" w:rsidRPr="00736486" w:rsidRDefault="003A5FCF" w:rsidP="003A5FCF">
      <w:pPr>
        <w:rPr>
          <w:rFonts w:cs="Arial"/>
        </w:rPr>
      </w:pPr>
    </w:p>
    <w:p w14:paraId="489331FF" w14:textId="77777777" w:rsidR="003A5FCF" w:rsidRPr="00736486" w:rsidRDefault="003A5FCF" w:rsidP="007029A5">
      <w:pPr>
        <w:pStyle w:val="ListParagraph"/>
        <w:numPr>
          <w:ilvl w:val="0"/>
          <w:numId w:val="70"/>
        </w:numPr>
        <w:ind w:left="709" w:hanging="283"/>
        <w:rPr>
          <w:rFonts w:cs="Arial"/>
        </w:rPr>
      </w:pPr>
      <w:r w:rsidRPr="00736486">
        <w:rPr>
          <w:rFonts w:cs="Arial"/>
        </w:rPr>
        <w:t xml:space="preserve">Broaden the definition of the culture sector to include additional cultural, heritage and creative activities and rename both national indicators to better reflect the expanded sector definition. </w:t>
      </w:r>
    </w:p>
    <w:p w14:paraId="51F1E02C" w14:textId="77777777" w:rsidR="003A5FCF" w:rsidRPr="00736486" w:rsidRDefault="003A5FCF" w:rsidP="007029A5">
      <w:pPr>
        <w:pStyle w:val="ListParagraph"/>
        <w:ind w:left="709" w:hanging="283"/>
        <w:rPr>
          <w:rFonts w:cs="Arial"/>
        </w:rPr>
      </w:pPr>
    </w:p>
    <w:p w14:paraId="4731DE56" w14:textId="0226A3C1" w:rsidR="003A5FCF" w:rsidRPr="00736486" w:rsidRDefault="003A5FCF" w:rsidP="007029A5">
      <w:pPr>
        <w:pStyle w:val="ListParagraph"/>
        <w:numPr>
          <w:ilvl w:val="0"/>
          <w:numId w:val="70"/>
        </w:numPr>
        <w:ind w:left="709" w:hanging="283"/>
        <w:rPr>
          <w:rFonts w:cs="Arial"/>
        </w:rPr>
      </w:pPr>
      <w:r w:rsidRPr="00736486">
        <w:rPr>
          <w:rFonts w:cs="Arial"/>
        </w:rPr>
        <w:t xml:space="preserve">Change the data source of the ‘People working in arts and culture’ indicator from the </w:t>
      </w:r>
      <w:r w:rsidR="000B428D">
        <w:rPr>
          <w:rFonts w:cs="Arial"/>
        </w:rPr>
        <w:t xml:space="preserve">ONS </w:t>
      </w:r>
      <w:r w:rsidRPr="00736486">
        <w:rPr>
          <w:rFonts w:cs="Arial"/>
        </w:rPr>
        <w:t xml:space="preserve">Business Register and Employment Survey (BRES) to the </w:t>
      </w:r>
      <w:r w:rsidR="000B428D">
        <w:rPr>
          <w:rFonts w:cs="Arial"/>
        </w:rPr>
        <w:t xml:space="preserve">ONS </w:t>
      </w:r>
      <w:r w:rsidRPr="00736486">
        <w:rPr>
          <w:rFonts w:cs="Arial"/>
        </w:rPr>
        <w:t xml:space="preserve">Annual Population </w:t>
      </w:r>
      <w:r w:rsidR="00914B10">
        <w:rPr>
          <w:rFonts w:cs="Arial"/>
        </w:rPr>
        <w:t xml:space="preserve">Survey </w:t>
      </w:r>
      <w:r w:rsidRPr="00736486">
        <w:rPr>
          <w:rFonts w:cs="Arial"/>
        </w:rPr>
        <w:t xml:space="preserve">(APS), to allow for better coverage of freelancers and disaggregation by socio-economic and protected characteristics. </w:t>
      </w:r>
    </w:p>
    <w:p w14:paraId="5F2B67BA" w14:textId="77777777" w:rsidR="003A5FCF" w:rsidRPr="00736486" w:rsidRDefault="003A5FCF" w:rsidP="007029A5">
      <w:pPr>
        <w:pStyle w:val="ListParagraph"/>
        <w:ind w:left="709" w:hanging="283"/>
        <w:rPr>
          <w:rFonts w:cs="Arial"/>
        </w:rPr>
      </w:pPr>
    </w:p>
    <w:p w14:paraId="1F372649" w14:textId="25ED6F72" w:rsidR="003A5FCF" w:rsidRPr="00736486" w:rsidRDefault="003A5FCF" w:rsidP="007029A5">
      <w:pPr>
        <w:pStyle w:val="ListParagraph"/>
        <w:numPr>
          <w:ilvl w:val="0"/>
          <w:numId w:val="70"/>
        </w:numPr>
        <w:ind w:left="709" w:hanging="283"/>
        <w:rPr>
          <w:rFonts w:cs="Arial"/>
        </w:rPr>
      </w:pPr>
      <w:r w:rsidRPr="00736486">
        <w:rPr>
          <w:rFonts w:cs="Arial"/>
        </w:rPr>
        <w:t xml:space="preserve">Change the measurement of the ‘Growth in the cultural economy’ indicator from nominal to real </w:t>
      </w:r>
      <w:r w:rsidR="00982102">
        <w:rPr>
          <w:rFonts w:cs="Arial"/>
        </w:rPr>
        <w:t>G</w:t>
      </w:r>
      <w:r w:rsidRPr="00736486">
        <w:rPr>
          <w:rFonts w:cs="Arial"/>
        </w:rPr>
        <w:t xml:space="preserve">ross </w:t>
      </w:r>
      <w:r w:rsidR="00982102">
        <w:rPr>
          <w:rFonts w:cs="Arial"/>
        </w:rPr>
        <w:t>V</w:t>
      </w:r>
      <w:r w:rsidRPr="00736486">
        <w:rPr>
          <w:rFonts w:cs="Arial"/>
        </w:rPr>
        <w:t xml:space="preserve">alue </w:t>
      </w:r>
      <w:r w:rsidR="00982102">
        <w:rPr>
          <w:rFonts w:cs="Arial"/>
        </w:rPr>
        <w:t>A</w:t>
      </w:r>
      <w:r w:rsidRPr="00736486">
        <w:rPr>
          <w:rFonts w:cs="Arial"/>
        </w:rPr>
        <w:t>dded to better track change over time.</w:t>
      </w:r>
    </w:p>
    <w:p w14:paraId="21C47E96" w14:textId="77777777" w:rsidR="003A5FCF" w:rsidRPr="00736486" w:rsidRDefault="003A5FCF" w:rsidP="007029A5">
      <w:pPr>
        <w:pStyle w:val="ListParagraph"/>
        <w:ind w:left="709" w:hanging="283"/>
        <w:rPr>
          <w:rFonts w:cs="Arial"/>
        </w:rPr>
      </w:pPr>
    </w:p>
    <w:p w14:paraId="37BDDC43" w14:textId="77777777" w:rsidR="003A5FCF" w:rsidRDefault="003A5FCF" w:rsidP="007029A5">
      <w:pPr>
        <w:pStyle w:val="ListParagraph"/>
        <w:numPr>
          <w:ilvl w:val="0"/>
          <w:numId w:val="70"/>
        </w:numPr>
        <w:ind w:left="709" w:hanging="283"/>
        <w:rPr>
          <w:rFonts w:cs="Arial"/>
        </w:rPr>
      </w:pPr>
      <w:r w:rsidRPr="00736486">
        <w:rPr>
          <w:rFonts w:cs="Arial"/>
        </w:rPr>
        <w:t>Revise the ‘criteria for change’ for measuring performance of both indicators, as necessitated by the above changes to the measurement of the indicators.</w:t>
      </w:r>
    </w:p>
    <w:p w14:paraId="215EAA5D" w14:textId="77777777" w:rsidR="003A5FCF" w:rsidRPr="00885CE8" w:rsidRDefault="003A5FCF" w:rsidP="003A5FCF"/>
    <w:p w14:paraId="33F3A00B" w14:textId="64670346" w:rsidR="00885CE8" w:rsidRDefault="00885CE8" w:rsidP="007029A5">
      <w:pPr>
        <w:pStyle w:val="Heading2"/>
        <w:numPr>
          <w:ilvl w:val="0"/>
          <w:numId w:val="0"/>
        </w:numPr>
      </w:pPr>
      <w:bookmarkStart w:id="2" w:name="_Toc131021891"/>
      <w:r w:rsidRPr="00885CE8">
        <w:t>Impact of changes</w:t>
      </w:r>
      <w:bookmarkEnd w:id="2"/>
    </w:p>
    <w:p w14:paraId="5EF584E5" w14:textId="0BF837AF" w:rsidR="006D5B3F" w:rsidRDefault="006D5B3F" w:rsidP="006D5B3F"/>
    <w:p w14:paraId="4C7CFD08" w14:textId="07B64A98" w:rsidR="006D5B3F" w:rsidRPr="006D5B3F" w:rsidRDefault="006D5B3F" w:rsidP="006D5B3F">
      <w:r>
        <w:t>The primary impact on the outcomes of each change across both indicators is set out below:</w:t>
      </w:r>
    </w:p>
    <w:p w14:paraId="098514F0" w14:textId="5181042B" w:rsidR="00B151EE" w:rsidRDefault="00B151EE" w:rsidP="00B151EE"/>
    <w:p w14:paraId="62406436" w14:textId="3C38C252" w:rsidR="00B151EE" w:rsidRDefault="00B151EE" w:rsidP="007029A5">
      <w:pPr>
        <w:pStyle w:val="ListParagraph"/>
        <w:numPr>
          <w:ilvl w:val="0"/>
          <w:numId w:val="69"/>
        </w:numPr>
      </w:pPr>
      <w:r>
        <w:t>T</w:t>
      </w:r>
      <w:r w:rsidRPr="00736486">
        <w:t xml:space="preserve">he impact of expanding the culture sector </w:t>
      </w:r>
      <w:r>
        <w:t xml:space="preserve">SIC code </w:t>
      </w:r>
      <w:r w:rsidRPr="00736486">
        <w:t>definition increased the sector’s GVA on average by around £100 million (</w:t>
      </w:r>
      <w:r>
        <w:t xml:space="preserve">around </w:t>
      </w:r>
      <w:r w:rsidRPr="00736486">
        <w:t>a 2% increase)</w:t>
      </w:r>
      <w:r>
        <w:t>,</w:t>
      </w:r>
      <w:r w:rsidRPr="00736486">
        <w:t xml:space="preserve"> and increased the sector’s employment level on average by around </w:t>
      </w:r>
      <w:r w:rsidR="00506BFB">
        <w:t>11,000</w:t>
      </w:r>
      <w:r w:rsidRPr="00736486">
        <w:t>.</w:t>
      </w:r>
    </w:p>
    <w:p w14:paraId="57C5AC78" w14:textId="77777777" w:rsidR="00B151EE" w:rsidRDefault="00B151EE" w:rsidP="00B151EE">
      <w:pPr>
        <w:pStyle w:val="ListParagraph"/>
      </w:pPr>
    </w:p>
    <w:p w14:paraId="1B4A4F4B" w14:textId="34DF364D" w:rsidR="00B151EE" w:rsidRDefault="00B151EE" w:rsidP="007029A5">
      <w:pPr>
        <w:pStyle w:val="ListParagraph"/>
        <w:numPr>
          <w:ilvl w:val="0"/>
          <w:numId w:val="69"/>
        </w:numPr>
      </w:pPr>
      <w:r w:rsidRPr="00736486">
        <w:t xml:space="preserve">The impact of using </w:t>
      </w:r>
      <w:r>
        <w:t>an alternate data source to</w:t>
      </w:r>
      <w:r w:rsidRPr="00736486">
        <w:t xml:space="preserve"> measure the workforce substantially increased </w:t>
      </w:r>
      <w:r w:rsidR="000B428D">
        <w:t xml:space="preserve">the </w:t>
      </w:r>
      <w:r w:rsidRPr="00736486">
        <w:t>estimate</w:t>
      </w:r>
      <w:r>
        <w:t xml:space="preserve">d </w:t>
      </w:r>
      <w:r w:rsidRPr="00736486">
        <w:t>employment in the sector</w:t>
      </w:r>
      <w:r>
        <w:t xml:space="preserve"> by around </w:t>
      </w:r>
      <w:r w:rsidRPr="00736486">
        <w:t xml:space="preserve">50,000 on average </w:t>
      </w:r>
      <w:r>
        <w:t xml:space="preserve">(an approximate </w:t>
      </w:r>
      <w:r w:rsidRPr="00736486">
        <w:t>55% increase</w:t>
      </w:r>
      <w:r>
        <w:t>)</w:t>
      </w:r>
      <w:r w:rsidRPr="00736486">
        <w:t xml:space="preserve">. </w:t>
      </w:r>
      <w:r w:rsidR="00293780">
        <w:t>Self-</w:t>
      </w:r>
      <w:r w:rsidR="00914B10">
        <w:t>e</w:t>
      </w:r>
      <w:r w:rsidR="00293780">
        <w:t>mployed people account</w:t>
      </w:r>
      <w:r w:rsidR="005979EB">
        <w:t>ed</w:t>
      </w:r>
      <w:r w:rsidR="00293780">
        <w:t xml:space="preserve"> for a large </w:t>
      </w:r>
      <w:r w:rsidR="000B428D">
        <w:t>proportion</w:t>
      </w:r>
      <w:r w:rsidR="00293780">
        <w:t xml:space="preserve"> of the increase in </w:t>
      </w:r>
      <w:r w:rsidR="005979EB">
        <w:t xml:space="preserve">employment in the Arts, culture and creative industries sector </w:t>
      </w:r>
      <w:r w:rsidR="001650F1">
        <w:t>when comparing the estimates obtained from BRES and</w:t>
      </w:r>
      <w:r w:rsidR="005979EB">
        <w:t xml:space="preserve"> the </w:t>
      </w:r>
      <w:r w:rsidR="00914B10">
        <w:t>APS.</w:t>
      </w:r>
      <w:r>
        <w:t xml:space="preserve"> </w:t>
      </w:r>
    </w:p>
    <w:p w14:paraId="7F77AC86" w14:textId="77777777" w:rsidR="00B151EE" w:rsidRDefault="00B151EE" w:rsidP="00B151EE">
      <w:pPr>
        <w:pStyle w:val="ListParagraph"/>
      </w:pPr>
    </w:p>
    <w:p w14:paraId="56167EC3" w14:textId="320E2B5A" w:rsidR="00B151EE" w:rsidRDefault="00B151EE" w:rsidP="007029A5">
      <w:pPr>
        <w:pStyle w:val="ListParagraph"/>
        <w:numPr>
          <w:ilvl w:val="0"/>
          <w:numId w:val="69"/>
        </w:numPr>
      </w:pPr>
      <w:r>
        <w:t>The impact of changing the measurement of the sector’s GVA over time</w:t>
      </w:r>
      <w:r w:rsidR="006D5B3F">
        <w:t xml:space="preserve"> to real terms</w:t>
      </w:r>
      <w:r>
        <w:t xml:space="preserve"> </w:t>
      </w:r>
      <w:r w:rsidR="006D5B3F">
        <w:t xml:space="preserve">allows for a clearer assessment of </w:t>
      </w:r>
      <w:r>
        <w:t xml:space="preserve">real change in the sector’s economy. </w:t>
      </w:r>
    </w:p>
    <w:p w14:paraId="4930A1C4" w14:textId="77777777" w:rsidR="006D5B3F" w:rsidRPr="00A33D71" w:rsidRDefault="006D5B3F" w:rsidP="006D5B3F"/>
    <w:p w14:paraId="377ADCDC" w14:textId="64F349E7" w:rsidR="00B151EE" w:rsidRDefault="006D5B3F" w:rsidP="007029A5">
      <w:pPr>
        <w:pStyle w:val="ListParagraph"/>
        <w:numPr>
          <w:ilvl w:val="0"/>
          <w:numId w:val="69"/>
        </w:numPr>
      </w:pPr>
      <w:r>
        <w:lastRenderedPageBreak/>
        <w:t>Given these changes, the criteria for change were adjusted to reflect the new methods applied which alter the year-to-year performance assessment of these indicators over time.</w:t>
      </w:r>
    </w:p>
    <w:p w14:paraId="10D556C5" w14:textId="77777777" w:rsidR="00B151EE" w:rsidRPr="00B151EE" w:rsidRDefault="00B151EE" w:rsidP="00B151EE">
      <w:pPr>
        <w:pStyle w:val="ListParagraph"/>
      </w:pPr>
    </w:p>
    <w:p w14:paraId="6CE92D0E" w14:textId="61258253" w:rsidR="00DC2083" w:rsidRDefault="00DC2083">
      <w:pPr>
        <w:rPr>
          <w:rFonts w:cs="Arial"/>
          <w:b/>
        </w:rPr>
      </w:pPr>
    </w:p>
    <w:p w14:paraId="51938E8D" w14:textId="4CAC2159" w:rsidR="00ED762C" w:rsidRPr="00736486" w:rsidRDefault="00C227DD" w:rsidP="007D3C36">
      <w:pPr>
        <w:pStyle w:val="Heading1"/>
      </w:pPr>
      <w:bookmarkStart w:id="3" w:name="Note5"/>
      <w:bookmarkStart w:id="4" w:name="_Toc131021892"/>
      <w:bookmarkEnd w:id="3"/>
      <w:r>
        <w:t>Purpose</w:t>
      </w:r>
      <w:bookmarkEnd w:id="4"/>
    </w:p>
    <w:p w14:paraId="24D09050" w14:textId="77777777" w:rsidR="00ED762C" w:rsidRPr="00736486" w:rsidRDefault="00ED762C" w:rsidP="00ED762C">
      <w:pPr>
        <w:pStyle w:val="ListParagraph"/>
        <w:ind w:left="360"/>
        <w:rPr>
          <w:rFonts w:cs="Arial"/>
          <w:lang w:eastAsia="en-GB"/>
        </w:rPr>
      </w:pPr>
    </w:p>
    <w:p w14:paraId="15DCA5E7" w14:textId="69882EF4" w:rsidR="004A71E7" w:rsidRPr="007D3C36" w:rsidRDefault="004A71E7" w:rsidP="007029A5">
      <w:bookmarkStart w:id="5" w:name="_Toc130811284"/>
      <w:bookmarkStart w:id="6" w:name="_Toc130915415"/>
      <w:r w:rsidRPr="007D3C36">
        <w:t>This note provides an overview of the s</w:t>
      </w:r>
      <w:r w:rsidR="00816811" w:rsidRPr="007D3C36">
        <w:t>ubstantial developments made to</w:t>
      </w:r>
      <w:r w:rsidR="002D2EFF" w:rsidRPr="007D3C36">
        <w:t xml:space="preserve"> </w:t>
      </w:r>
      <w:r w:rsidR="00C1700B" w:rsidRPr="007D3C36">
        <w:t>the</w:t>
      </w:r>
      <w:r w:rsidR="005E59EA" w:rsidRPr="007D3C36">
        <w:t xml:space="preserve"> </w:t>
      </w:r>
      <w:r w:rsidR="00ED762C" w:rsidRPr="007D3C36">
        <w:t>National</w:t>
      </w:r>
      <w:r w:rsidR="005E59EA" w:rsidRPr="007D3C36">
        <w:t xml:space="preserve"> Performance Framework (NPF)</w:t>
      </w:r>
      <w:r w:rsidR="00ED762C" w:rsidRPr="007D3C36">
        <w:t xml:space="preserve"> </w:t>
      </w:r>
      <w:r w:rsidR="00434BA3" w:rsidRPr="007D3C36">
        <w:t>National I</w:t>
      </w:r>
      <w:r w:rsidR="00ED762C" w:rsidRPr="007D3C36">
        <w:t xml:space="preserve">ndicators on </w:t>
      </w:r>
      <w:r w:rsidR="00E13B12" w:rsidRPr="007D3C36">
        <w:t>‘</w:t>
      </w:r>
      <w:r w:rsidR="00736486" w:rsidRPr="007D3C36">
        <w:t>G</w:t>
      </w:r>
      <w:r w:rsidR="00ED762C" w:rsidRPr="007D3C36">
        <w:t xml:space="preserve">rowth in </w:t>
      </w:r>
      <w:r w:rsidR="00355569" w:rsidRPr="007D3C36">
        <w:t>the cultural economy’ and ‘</w:t>
      </w:r>
      <w:r w:rsidR="00736486" w:rsidRPr="007D3C36">
        <w:t>P</w:t>
      </w:r>
      <w:r w:rsidR="00355569" w:rsidRPr="007D3C36">
        <w:t>eople working in arts and culture’</w:t>
      </w:r>
      <w:r w:rsidR="00816811" w:rsidRPr="007D3C36">
        <w:t xml:space="preserve"> </w:t>
      </w:r>
      <w:r w:rsidR="00FB7423">
        <w:t>i</w:t>
      </w:r>
      <w:r w:rsidR="00816811" w:rsidRPr="007D3C36">
        <w:t xml:space="preserve">n </w:t>
      </w:r>
      <w:r w:rsidR="005D733A" w:rsidRPr="00914B10">
        <w:t xml:space="preserve">May </w:t>
      </w:r>
      <w:r w:rsidR="00816811" w:rsidRPr="00914B10">
        <w:t>2023</w:t>
      </w:r>
      <w:r w:rsidR="00ED762C" w:rsidRPr="00914B10">
        <w:t>.</w:t>
      </w:r>
      <w:bookmarkEnd w:id="5"/>
      <w:bookmarkEnd w:id="6"/>
      <w:r w:rsidR="00C1700B" w:rsidRPr="007D3C36">
        <w:t xml:space="preserve"> </w:t>
      </w:r>
      <w:bookmarkStart w:id="7" w:name="Note6"/>
      <w:bookmarkEnd w:id="7"/>
    </w:p>
    <w:p w14:paraId="3DB3E8A8" w14:textId="39F14A9A" w:rsidR="00885CE8" w:rsidRPr="00C227DD" w:rsidRDefault="00885CE8" w:rsidP="00885CE8"/>
    <w:p w14:paraId="1D75656D" w14:textId="1913672A" w:rsidR="004A71E7" w:rsidRPr="007D3C36" w:rsidRDefault="00FB7423" w:rsidP="007029A5">
      <w:bookmarkStart w:id="8" w:name="_Toc130811285"/>
      <w:bookmarkStart w:id="9" w:name="_Toc130915416"/>
      <w:r w:rsidRPr="00C227DD">
        <w:t>It</w:t>
      </w:r>
      <w:r w:rsidR="004A71E7" w:rsidRPr="00C227DD">
        <w:t xml:space="preserve"> sets out the background to this development work, including the issues that initially led these indicators us</w:t>
      </w:r>
      <w:r w:rsidRPr="00C227DD">
        <w:t>ing</w:t>
      </w:r>
      <w:r w:rsidR="004A71E7" w:rsidRPr="00C227DD">
        <w:t xml:space="preserve"> temporary measures to report</w:t>
      </w:r>
      <w:r w:rsidRPr="00C227DD">
        <w:t xml:space="preserve"> on</w:t>
      </w:r>
      <w:r w:rsidR="004A71E7" w:rsidRPr="00C227DD">
        <w:t xml:space="preserve"> progress and the stakeholder groups that the Scottish Government engaged with to </w:t>
      </w:r>
      <w:r w:rsidRPr="00C227DD">
        <w:t>address</w:t>
      </w:r>
      <w:r w:rsidR="004A71E7" w:rsidRPr="00C227DD">
        <w:t xml:space="preserve"> these challenges.</w:t>
      </w:r>
      <w:bookmarkEnd w:id="8"/>
      <w:bookmarkEnd w:id="9"/>
      <w:r w:rsidR="004A71E7" w:rsidRPr="00C227DD">
        <w:t xml:space="preserve"> </w:t>
      </w:r>
      <w:r w:rsidRPr="00C227DD">
        <w:t xml:space="preserve">It </w:t>
      </w:r>
      <w:bookmarkStart w:id="10" w:name="_Toc130811286"/>
      <w:bookmarkStart w:id="11" w:name="_Toc130915417"/>
      <w:r>
        <w:t>t</w:t>
      </w:r>
      <w:r w:rsidR="004A71E7" w:rsidRPr="007D3C36">
        <w:t xml:space="preserve">hen </w:t>
      </w:r>
      <w:r>
        <w:t xml:space="preserve">sets out the changes made to each indicator, the </w:t>
      </w:r>
      <w:r w:rsidR="004A71E7" w:rsidRPr="007D3C36">
        <w:t xml:space="preserve">reason </w:t>
      </w:r>
      <w:r>
        <w:t>for</w:t>
      </w:r>
      <w:r w:rsidRPr="007D3C36">
        <w:t xml:space="preserve"> </w:t>
      </w:r>
      <w:r w:rsidR="004A71E7" w:rsidRPr="007D3C36">
        <w:t>each change and its impact on the results of each indicator.</w:t>
      </w:r>
      <w:bookmarkEnd w:id="10"/>
      <w:bookmarkEnd w:id="11"/>
      <w:r w:rsidR="004A71E7" w:rsidRPr="007D3C36">
        <w:t xml:space="preserve"> </w:t>
      </w:r>
    </w:p>
    <w:p w14:paraId="20AC7A83" w14:textId="66B7A7A3" w:rsidR="00496100" w:rsidRDefault="00496100" w:rsidP="00736486">
      <w:pPr>
        <w:pStyle w:val="Heading1"/>
        <w:numPr>
          <w:ilvl w:val="0"/>
          <w:numId w:val="0"/>
        </w:numPr>
        <w:tabs>
          <w:tab w:val="left" w:pos="720"/>
          <w:tab w:val="left" w:pos="1440"/>
          <w:tab w:val="left" w:pos="2160"/>
          <w:tab w:val="left" w:pos="2880"/>
          <w:tab w:val="left" w:pos="4680"/>
          <w:tab w:val="left" w:pos="5400"/>
          <w:tab w:val="right" w:pos="9000"/>
        </w:tabs>
        <w:spacing w:line="240" w:lineRule="atLeast"/>
        <w:jc w:val="both"/>
        <w:rPr>
          <w:rFonts w:cs="Arial"/>
        </w:rPr>
      </w:pPr>
    </w:p>
    <w:p w14:paraId="628B48B1" w14:textId="77777777" w:rsidR="00355569" w:rsidRPr="00736486" w:rsidRDefault="00355569" w:rsidP="00496100">
      <w:pPr>
        <w:rPr>
          <w:rFonts w:cs="Arial"/>
        </w:rPr>
      </w:pPr>
    </w:p>
    <w:p w14:paraId="1F02BD1A" w14:textId="7899A2EC" w:rsidR="00D111FA" w:rsidRPr="00D111FA" w:rsidRDefault="00496100" w:rsidP="00D111FA">
      <w:pPr>
        <w:pStyle w:val="Heading1"/>
      </w:pPr>
      <w:bookmarkStart w:id="12" w:name="_Toc131021893"/>
      <w:r w:rsidRPr="00736486">
        <w:t>Background</w:t>
      </w:r>
      <w:r w:rsidR="007D3C36">
        <w:t xml:space="preserve"> </w:t>
      </w:r>
      <w:bookmarkEnd w:id="12"/>
    </w:p>
    <w:p w14:paraId="60AF0143" w14:textId="77777777" w:rsidR="004731BC" w:rsidRPr="004731BC" w:rsidRDefault="004731BC" w:rsidP="004731BC"/>
    <w:p w14:paraId="3C493694" w14:textId="5F071228" w:rsidR="005A3E20" w:rsidRPr="00736486" w:rsidRDefault="00355569" w:rsidP="00885CE8">
      <w:bookmarkStart w:id="13" w:name="_Hlk128582076"/>
      <w:r w:rsidRPr="00736486">
        <w:t xml:space="preserve">As part of the </w:t>
      </w:r>
      <w:r w:rsidR="00496100" w:rsidRPr="00736486">
        <w:t>NPF</w:t>
      </w:r>
      <w:r w:rsidRPr="00736486">
        <w:t xml:space="preserve"> </w:t>
      </w:r>
      <w:r w:rsidR="00496100" w:rsidRPr="00736486">
        <w:t>refresh in 2018</w:t>
      </w:r>
      <w:r w:rsidRPr="00736486">
        <w:t>, a new</w:t>
      </w:r>
      <w:r w:rsidR="00496100" w:rsidRPr="00736486">
        <w:t xml:space="preserve"> </w:t>
      </w:r>
      <w:r w:rsidR="00956D45">
        <w:t>N</w:t>
      </w:r>
      <w:r w:rsidR="00496100" w:rsidRPr="00736486">
        <w:t xml:space="preserve">ational </w:t>
      </w:r>
      <w:r w:rsidR="00956D45">
        <w:t>O</w:t>
      </w:r>
      <w:r w:rsidR="00496100" w:rsidRPr="00736486">
        <w:t xml:space="preserve">utcome on </w:t>
      </w:r>
      <w:r w:rsidR="00956D45">
        <w:t>C</w:t>
      </w:r>
      <w:r w:rsidR="00496100" w:rsidRPr="00736486">
        <w:t>ulture</w:t>
      </w:r>
      <w:r w:rsidRPr="00736486">
        <w:t xml:space="preserve"> was added </w:t>
      </w:r>
      <w:r w:rsidRPr="00736486">
        <w:rPr>
          <w:iCs/>
        </w:rPr>
        <w:t>with p</w:t>
      </w:r>
      <w:r w:rsidR="00496100" w:rsidRPr="00736486">
        <w:t xml:space="preserve">rogress measured </w:t>
      </w:r>
      <w:r w:rsidR="00F0601C" w:rsidRPr="00736486">
        <w:t xml:space="preserve">by </w:t>
      </w:r>
      <w:r w:rsidR="00496100" w:rsidRPr="00736486">
        <w:t>fou</w:t>
      </w:r>
      <w:r w:rsidRPr="00736486">
        <w:t xml:space="preserve">r </w:t>
      </w:r>
      <w:r w:rsidR="00956D45">
        <w:t>N</w:t>
      </w:r>
      <w:r w:rsidR="00496100" w:rsidRPr="00736486">
        <w:t xml:space="preserve">ational </w:t>
      </w:r>
      <w:r w:rsidR="00956D45">
        <w:t>I</w:t>
      </w:r>
      <w:r w:rsidR="00496100" w:rsidRPr="00736486">
        <w:t>ndicators</w:t>
      </w:r>
      <w:r w:rsidRPr="00736486">
        <w:t xml:space="preserve">. Two of these indicators </w:t>
      </w:r>
      <w:r w:rsidR="009D140D">
        <w:t>had originally</w:t>
      </w:r>
      <w:r w:rsidRPr="00736486">
        <w:t xml:space="preserve"> used </w:t>
      </w:r>
      <w:r w:rsidRPr="00736486">
        <w:rPr>
          <w:color w:val="000000"/>
          <w:shd w:val="clear" w:color="auto" w:fill="FFFFFF"/>
        </w:rPr>
        <w:t xml:space="preserve">temporary measures to report on progress while work was underway to improve the measurement approach. These indicators and their </w:t>
      </w:r>
      <w:r w:rsidR="00885CE8">
        <w:rPr>
          <w:color w:val="000000"/>
          <w:shd w:val="clear" w:color="auto" w:fill="FFFFFF"/>
        </w:rPr>
        <w:t>previous</w:t>
      </w:r>
      <w:r w:rsidRPr="00736486">
        <w:rPr>
          <w:color w:val="000000"/>
          <w:shd w:val="clear" w:color="auto" w:fill="FFFFFF"/>
        </w:rPr>
        <w:t xml:space="preserve"> temporary measures are set out below</w:t>
      </w:r>
      <w:r w:rsidR="005A3E20" w:rsidRPr="00736486">
        <w:rPr>
          <w:color w:val="000000"/>
          <w:shd w:val="clear" w:color="auto" w:fill="FFFFFF"/>
        </w:rPr>
        <w:t xml:space="preserve"> and a</w:t>
      </w:r>
      <w:r w:rsidR="005A3E20" w:rsidRPr="00736486">
        <w:t xml:space="preserve">n overview of the </w:t>
      </w:r>
      <w:r w:rsidR="00DC2083">
        <w:t>past</w:t>
      </w:r>
      <w:r w:rsidR="005A3E20" w:rsidRPr="00736486">
        <w:t xml:space="preserve"> performance of each indicator</w:t>
      </w:r>
      <w:r w:rsidR="00FB7423">
        <w:t xml:space="preserve"> using the previous (temporary) methodology</w:t>
      </w:r>
      <w:r w:rsidR="005A3E20" w:rsidRPr="00736486">
        <w:t xml:space="preserve"> is provided in </w:t>
      </w:r>
      <w:r w:rsidR="005A3E20" w:rsidRPr="00736486">
        <w:rPr>
          <w:b/>
          <w:bCs/>
        </w:rPr>
        <w:t xml:space="preserve">Annex </w:t>
      </w:r>
      <w:r w:rsidR="00C82744">
        <w:rPr>
          <w:b/>
          <w:bCs/>
        </w:rPr>
        <w:t>A</w:t>
      </w:r>
      <w:r w:rsidR="005A3E20" w:rsidRPr="00736486">
        <w:t>.</w:t>
      </w:r>
    </w:p>
    <w:p w14:paraId="0E9E52E1" w14:textId="77777777" w:rsidR="00F0601C" w:rsidRPr="00736486" w:rsidRDefault="00F0601C" w:rsidP="00F0601C">
      <w:pPr>
        <w:pStyle w:val="Heading1"/>
        <w:numPr>
          <w:ilvl w:val="0"/>
          <w:numId w:val="0"/>
        </w:numPr>
        <w:rPr>
          <w:rFonts w:cs="Arial"/>
        </w:rPr>
      </w:pPr>
    </w:p>
    <w:p w14:paraId="3B7EA2E5" w14:textId="3D0B4D50" w:rsidR="00F0601C" w:rsidRPr="007029A5" w:rsidRDefault="00355569" w:rsidP="007029A5">
      <w:pPr>
        <w:pStyle w:val="ListParagraph"/>
        <w:numPr>
          <w:ilvl w:val="0"/>
          <w:numId w:val="70"/>
        </w:numPr>
        <w:ind w:left="709" w:hanging="283"/>
        <w:rPr>
          <w:rFonts w:cs="Arial"/>
          <w:b/>
        </w:rPr>
      </w:pPr>
      <w:bookmarkStart w:id="14" w:name="_Toc130811288"/>
      <w:bookmarkStart w:id="15" w:name="_Toc130915419"/>
      <w:r w:rsidRPr="00C227DD">
        <w:rPr>
          <w:rFonts w:cs="Arial"/>
        </w:rPr>
        <w:t>‘</w:t>
      </w:r>
      <w:r w:rsidR="00736486" w:rsidRPr="00C227DD">
        <w:rPr>
          <w:rFonts w:cs="Arial"/>
        </w:rPr>
        <w:t>G</w:t>
      </w:r>
      <w:r w:rsidRPr="00C227DD">
        <w:rPr>
          <w:rFonts w:cs="Arial"/>
        </w:rPr>
        <w:t>rowth in the cultural economy’</w:t>
      </w:r>
      <w:r w:rsidR="005A3E20" w:rsidRPr="00C227DD">
        <w:rPr>
          <w:rFonts w:cs="Arial"/>
        </w:rPr>
        <w:t xml:space="preserve"> national indicator</w:t>
      </w:r>
      <w:r w:rsidRPr="00C227DD">
        <w:rPr>
          <w:rFonts w:cs="Arial"/>
        </w:rPr>
        <w:t xml:space="preserve">: </w:t>
      </w:r>
      <w:r w:rsidR="005A3E20" w:rsidRPr="00C227DD">
        <w:rPr>
          <w:rFonts w:cs="Arial"/>
        </w:rPr>
        <w:t xml:space="preserve">measured by the </w:t>
      </w:r>
      <w:r w:rsidRPr="00C227DD">
        <w:rPr>
          <w:rFonts w:cs="Arial"/>
        </w:rPr>
        <w:t xml:space="preserve">approximate annual </w:t>
      </w:r>
      <w:r w:rsidR="00426BDC" w:rsidRPr="00C227DD">
        <w:rPr>
          <w:rFonts w:cs="Arial"/>
        </w:rPr>
        <w:t xml:space="preserve">nominal </w:t>
      </w:r>
      <w:r w:rsidR="00A76F17" w:rsidRPr="00C227DD">
        <w:rPr>
          <w:rFonts w:cs="Arial"/>
        </w:rPr>
        <w:t>gross value added (</w:t>
      </w:r>
      <w:r w:rsidRPr="00C227DD">
        <w:rPr>
          <w:rFonts w:cs="Arial"/>
        </w:rPr>
        <w:t>GVA</w:t>
      </w:r>
      <w:r w:rsidR="00A76F17" w:rsidRPr="00C227DD">
        <w:rPr>
          <w:rFonts w:cs="Arial"/>
        </w:rPr>
        <w:t>)</w:t>
      </w:r>
      <w:r w:rsidRPr="007029A5">
        <w:rPr>
          <w:rFonts w:cs="Arial"/>
        </w:rPr>
        <w:t xml:space="preserve"> of the </w:t>
      </w:r>
      <w:r w:rsidR="000F111C" w:rsidRPr="007029A5">
        <w:rPr>
          <w:rFonts w:cs="Arial"/>
        </w:rPr>
        <w:t>C</w:t>
      </w:r>
      <w:r w:rsidRPr="007029A5">
        <w:rPr>
          <w:rFonts w:cs="Arial"/>
        </w:rPr>
        <w:t xml:space="preserve">reative </w:t>
      </w:r>
      <w:r w:rsidR="000F111C" w:rsidRPr="007029A5">
        <w:rPr>
          <w:rFonts w:cs="Arial"/>
        </w:rPr>
        <w:t>I</w:t>
      </w:r>
      <w:r w:rsidRPr="007029A5">
        <w:rPr>
          <w:rFonts w:cs="Arial"/>
        </w:rPr>
        <w:t>ndustries growth sector</w:t>
      </w:r>
      <w:bookmarkEnd w:id="14"/>
      <w:bookmarkEnd w:id="15"/>
    </w:p>
    <w:p w14:paraId="725E3BE6" w14:textId="77777777" w:rsidR="00355569" w:rsidRPr="00C227DD" w:rsidRDefault="00355569" w:rsidP="007029A5">
      <w:pPr>
        <w:pStyle w:val="ListParagraph"/>
        <w:ind w:left="709"/>
        <w:rPr>
          <w:rFonts w:cs="Arial"/>
        </w:rPr>
      </w:pPr>
    </w:p>
    <w:p w14:paraId="598511A2" w14:textId="037BF781" w:rsidR="00580B5F" w:rsidRPr="00C227DD" w:rsidRDefault="00355569" w:rsidP="007029A5">
      <w:pPr>
        <w:pStyle w:val="ListParagraph"/>
        <w:numPr>
          <w:ilvl w:val="0"/>
          <w:numId w:val="70"/>
        </w:numPr>
        <w:ind w:left="709" w:hanging="283"/>
        <w:rPr>
          <w:rFonts w:cs="Arial"/>
        </w:rPr>
      </w:pPr>
      <w:bookmarkStart w:id="16" w:name="_Toc130811289"/>
      <w:bookmarkStart w:id="17" w:name="_Toc130915420"/>
      <w:r w:rsidRPr="00C227DD">
        <w:rPr>
          <w:rFonts w:cs="Arial"/>
        </w:rPr>
        <w:t>‘</w:t>
      </w:r>
      <w:r w:rsidR="00736486" w:rsidRPr="00C227DD">
        <w:rPr>
          <w:rFonts w:cs="Arial"/>
        </w:rPr>
        <w:t>P</w:t>
      </w:r>
      <w:r w:rsidRPr="00C227DD">
        <w:rPr>
          <w:rFonts w:cs="Arial"/>
        </w:rPr>
        <w:t>eople working in arts and culture’</w:t>
      </w:r>
      <w:r w:rsidR="005A3E20" w:rsidRPr="00C227DD">
        <w:rPr>
          <w:rFonts w:cs="Arial"/>
        </w:rPr>
        <w:t xml:space="preserve"> national indicator</w:t>
      </w:r>
      <w:r w:rsidRPr="00C227DD">
        <w:rPr>
          <w:rFonts w:cs="Arial"/>
        </w:rPr>
        <w:t xml:space="preserve">: </w:t>
      </w:r>
      <w:r w:rsidR="005A3E20" w:rsidRPr="00C227DD">
        <w:rPr>
          <w:rFonts w:cs="Arial"/>
        </w:rPr>
        <w:t xml:space="preserve">measured by the </w:t>
      </w:r>
      <w:r w:rsidRPr="00C227DD">
        <w:rPr>
          <w:rFonts w:cs="Arial"/>
        </w:rPr>
        <w:t xml:space="preserve">number of jobs in the </w:t>
      </w:r>
      <w:r w:rsidR="000F111C" w:rsidRPr="007029A5">
        <w:rPr>
          <w:rFonts w:cs="Arial"/>
        </w:rPr>
        <w:t>C</w:t>
      </w:r>
      <w:r w:rsidRPr="007029A5">
        <w:rPr>
          <w:rFonts w:cs="Arial"/>
        </w:rPr>
        <w:t xml:space="preserve">reative </w:t>
      </w:r>
      <w:r w:rsidR="000F111C" w:rsidRPr="007029A5">
        <w:rPr>
          <w:rFonts w:cs="Arial"/>
        </w:rPr>
        <w:t>I</w:t>
      </w:r>
      <w:r w:rsidRPr="007029A5">
        <w:rPr>
          <w:rFonts w:cs="Arial"/>
        </w:rPr>
        <w:t>ndustries growth sector</w:t>
      </w:r>
      <w:bookmarkEnd w:id="16"/>
      <w:bookmarkEnd w:id="17"/>
    </w:p>
    <w:p w14:paraId="251684B4" w14:textId="77777777" w:rsidR="00355569" w:rsidRPr="00736486" w:rsidRDefault="00355569" w:rsidP="00736486">
      <w:pPr>
        <w:rPr>
          <w:rFonts w:cs="Arial"/>
        </w:rPr>
      </w:pPr>
    </w:p>
    <w:p w14:paraId="4C973FB9" w14:textId="701CF58F" w:rsidR="00355569" w:rsidRPr="00736486" w:rsidRDefault="00355569" w:rsidP="00885CE8">
      <w:r w:rsidRPr="00736486">
        <w:t>Several issues led to these measures being badged as ‘temporary’:</w:t>
      </w:r>
    </w:p>
    <w:p w14:paraId="725851A9" w14:textId="77777777" w:rsidR="00355569" w:rsidRPr="00736486" w:rsidRDefault="00355569" w:rsidP="00736486">
      <w:pPr>
        <w:rPr>
          <w:rFonts w:cs="Arial"/>
        </w:rPr>
      </w:pPr>
    </w:p>
    <w:p w14:paraId="4E283295" w14:textId="42A9D951" w:rsidR="00355569" w:rsidRPr="00C227DD" w:rsidRDefault="00355569" w:rsidP="007029A5">
      <w:pPr>
        <w:pStyle w:val="ListParagraph"/>
        <w:numPr>
          <w:ilvl w:val="0"/>
          <w:numId w:val="70"/>
        </w:numPr>
        <w:ind w:left="709" w:hanging="283"/>
        <w:rPr>
          <w:rFonts w:cs="Arial"/>
        </w:rPr>
      </w:pPr>
      <w:bookmarkStart w:id="18" w:name="_Toc130811290"/>
      <w:bookmarkStart w:id="19" w:name="_Toc130915421"/>
      <w:r w:rsidRPr="00C227DD">
        <w:rPr>
          <w:rFonts w:cs="Arial"/>
        </w:rPr>
        <w:t xml:space="preserve">The absence of an internationally agreed definition for the activities that form the culture sector. This resulted in the </w:t>
      </w:r>
      <w:r w:rsidR="009D140D" w:rsidRPr="00C227DD">
        <w:rPr>
          <w:rFonts w:cs="Arial"/>
        </w:rPr>
        <w:t>previous</w:t>
      </w:r>
      <w:r w:rsidRPr="00C227DD">
        <w:rPr>
          <w:rFonts w:cs="Arial"/>
        </w:rPr>
        <w:t xml:space="preserve"> temporary measure using the pre-existing </w:t>
      </w:r>
      <w:r w:rsidR="00DC2083" w:rsidRPr="00C227DD">
        <w:rPr>
          <w:rFonts w:cs="Arial"/>
        </w:rPr>
        <w:t>C</w:t>
      </w:r>
      <w:r w:rsidRPr="00C227DD">
        <w:rPr>
          <w:rFonts w:cs="Arial"/>
        </w:rPr>
        <w:t xml:space="preserve">reative </w:t>
      </w:r>
      <w:r w:rsidR="00DC2083" w:rsidRPr="00C227DD">
        <w:rPr>
          <w:rFonts w:cs="Arial"/>
        </w:rPr>
        <w:t>I</w:t>
      </w:r>
      <w:r w:rsidRPr="00C227DD">
        <w:rPr>
          <w:rFonts w:cs="Arial"/>
        </w:rPr>
        <w:t>ndustries growth sector definition</w:t>
      </w:r>
      <w:r w:rsidR="00DC2083" w:rsidRPr="00C227DD">
        <w:rPr>
          <w:rFonts w:cs="Arial"/>
        </w:rPr>
        <w:t>.</w:t>
      </w:r>
      <w:r w:rsidR="00DC2083" w:rsidRPr="00914B10">
        <w:rPr>
          <w:vertAlign w:val="superscript"/>
        </w:rPr>
        <w:footnoteReference w:id="1"/>
      </w:r>
      <w:r w:rsidR="00DC2083" w:rsidRPr="00C227DD">
        <w:rPr>
          <w:rFonts w:cs="Arial"/>
        </w:rPr>
        <w:t xml:space="preserve"> </w:t>
      </w:r>
      <w:r w:rsidR="009D140D" w:rsidRPr="00C227DD">
        <w:rPr>
          <w:rFonts w:cs="Arial"/>
        </w:rPr>
        <w:t>However, most</w:t>
      </w:r>
      <w:r w:rsidRPr="00C227DD">
        <w:rPr>
          <w:rFonts w:cs="Arial"/>
        </w:rPr>
        <w:t xml:space="preserve"> stakeholders fe</w:t>
      </w:r>
      <w:r w:rsidR="009D140D" w:rsidRPr="00C227DD">
        <w:rPr>
          <w:rFonts w:cs="Arial"/>
        </w:rPr>
        <w:t>lt that this did</w:t>
      </w:r>
      <w:r w:rsidRPr="00C227DD">
        <w:rPr>
          <w:rFonts w:cs="Arial"/>
        </w:rPr>
        <w:t xml:space="preserve"> not cover the full range of cultural activities, such as those within the heritage sector.</w:t>
      </w:r>
      <w:bookmarkEnd w:id="18"/>
      <w:bookmarkEnd w:id="19"/>
    </w:p>
    <w:p w14:paraId="7729647A" w14:textId="77777777" w:rsidR="00355569" w:rsidRPr="00C227DD" w:rsidRDefault="00355569" w:rsidP="007029A5">
      <w:pPr>
        <w:pStyle w:val="ListParagraph"/>
        <w:ind w:left="709"/>
        <w:rPr>
          <w:rFonts w:cs="Arial"/>
        </w:rPr>
      </w:pPr>
    </w:p>
    <w:p w14:paraId="0A00A12C" w14:textId="2FF7A9BF" w:rsidR="00355569" w:rsidRPr="00C227DD" w:rsidRDefault="00355569" w:rsidP="007029A5">
      <w:pPr>
        <w:pStyle w:val="ListParagraph"/>
        <w:numPr>
          <w:ilvl w:val="0"/>
          <w:numId w:val="70"/>
        </w:numPr>
        <w:ind w:left="709" w:hanging="283"/>
        <w:rPr>
          <w:rFonts w:cs="Arial"/>
        </w:rPr>
      </w:pPr>
      <w:bookmarkStart w:id="20" w:name="_Toc130811291"/>
      <w:bookmarkStart w:id="21" w:name="_Toc130915422"/>
      <w:r w:rsidRPr="00C227DD">
        <w:rPr>
          <w:rFonts w:cs="Arial"/>
        </w:rPr>
        <w:t xml:space="preserve">The </w:t>
      </w:r>
      <w:r w:rsidR="009D140D" w:rsidRPr="00C227DD">
        <w:rPr>
          <w:rFonts w:cs="Arial"/>
        </w:rPr>
        <w:t>previous</w:t>
      </w:r>
      <w:r w:rsidRPr="00C227DD">
        <w:rPr>
          <w:rFonts w:cs="Arial"/>
        </w:rPr>
        <w:t xml:space="preserve"> temporary measure of ‘</w:t>
      </w:r>
      <w:r w:rsidR="00956D45" w:rsidRPr="00C227DD">
        <w:rPr>
          <w:rFonts w:cs="Arial"/>
        </w:rPr>
        <w:t>P</w:t>
      </w:r>
      <w:r w:rsidRPr="00C227DD">
        <w:rPr>
          <w:rFonts w:cs="Arial"/>
        </w:rPr>
        <w:t>eople working in arts and culture’ excludes several groups that are particularly relevant to the sector’s workforce such as self-employed workers (</w:t>
      </w:r>
      <w:r w:rsidR="00736486" w:rsidRPr="00C227DD">
        <w:rPr>
          <w:rFonts w:cs="Arial"/>
        </w:rPr>
        <w:t xml:space="preserve">e.g. </w:t>
      </w:r>
      <w:r w:rsidRPr="00C227DD">
        <w:rPr>
          <w:rFonts w:cs="Arial"/>
        </w:rPr>
        <w:t>freelancers)</w:t>
      </w:r>
      <w:r w:rsidR="009D140D" w:rsidRPr="00C227DD">
        <w:rPr>
          <w:rFonts w:cs="Arial"/>
        </w:rPr>
        <w:t>; employees of smaller businesses</w:t>
      </w:r>
      <w:r w:rsidRPr="00C227DD">
        <w:rPr>
          <w:rFonts w:cs="Arial"/>
        </w:rPr>
        <w:t xml:space="preserve"> </w:t>
      </w:r>
      <w:r w:rsidRPr="00C227DD">
        <w:rPr>
          <w:rFonts w:cs="Arial"/>
        </w:rPr>
        <w:lastRenderedPageBreak/>
        <w:t>operating below the VAT threshold</w:t>
      </w:r>
      <w:r w:rsidR="009D140D" w:rsidRPr="00C227DD">
        <w:rPr>
          <w:rFonts w:cs="Arial"/>
        </w:rPr>
        <w:t>;</w:t>
      </w:r>
      <w:r w:rsidRPr="00C227DD">
        <w:rPr>
          <w:rFonts w:cs="Arial"/>
        </w:rPr>
        <w:t xml:space="preserve"> those working in cultural occupations </w:t>
      </w:r>
      <w:proofErr w:type="spellStart"/>
      <w:r w:rsidRPr="00C227DD">
        <w:rPr>
          <w:rFonts w:cs="Arial"/>
        </w:rPr>
        <w:t>outwith</w:t>
      </w:r>
      <w:proofErr w:type="spellEnd"/>
      <w:r w:rsidRPr="00C227DD">
        <w:rPr>
          <w:rFonts w:cs="Arial"/>
        </w:rPr>
        <w:t xml:space="preserve"> a cultural business and those that work in second jobs </w:t>
      </w:r>
      <w:r w:rsidR="009D140D" w:rsidRPr="00C227DD">
        <w:rPr>
          <w:rFonts w:cs="Arial"/>
        </w:rPr>
        <w:t xml:space="preserve">or volunteer </w:t>
      </w:r>
      <w:r w:rsidRPr="00C227DD">
        <w:rPr>
          <w:rFonts w:cs="Arial"/>
        </w:rPr>
        <w:t>within the sector.</w:t>
      </w:r>
      <w:bookmarkEnd w:id="20"/>
      <w:bookmarkEnd w:id="21"/>
    </w:p>
    <w:p w14:paraId="45CF83FB" w14:textId="77777777" w:rsidR="00355569" w:rsidRPr="00C227DD" w:rsidRDefault="00355569" w:rsidP="007029A5">
      <w:pPr>
        <w:pStyle w:val="ListParagraph"/>
        <w:ind w:left="709"/>
        <w:rPr>
          <w:rFonts w:cs="Arial"/>
        </w:rPr>
      </w:pPr>
    </w:p>
    <w:p w14:paraId="3EE8E52D" w14:textId="32349E9D" w:rsidR="00355569" w:rsidRPr="00C227DD" w:rsidRDefault="00355569" w:rsidP="007029A5">
      <w:pPr>
        <w:pStyle w:val="ListParagraph"/>
        <w:numPr>
          <w:ilvl w:val="0"/>
          <w:numId w:val="70"/>
        </w:numPr>
        <w:ind w:left="709" w:hanging="283"/>
        <w:rPr>
          <w:rFonts w:cs="Arial"/>
        </w:rPr>
      </w:pPr>
      <w:bookmarkStart w:id="22" w:name="_Toc130811292"/>
      <w:bookmarkStart w:id="23" w:name="_Toc130915423"/>
      <w:r w:rsidRPr="00C227DD">
        <w:rPr>
          <w:rFonts w:cs="Arial"/>
        </w:rPr>
        <w:t xml:space="preserve">The </w:t>
      </w:r>
      <w:r w:rsidR="009D140D" w:rsidRPr="00C227DD">
        <w:rPr>
          <w:rFonts w:cs="Arial"/>
        </w:rPr>
        <w:t>previous</w:t>
      </w:r>
      <w:r w:rsidRPr="00C227DD">
        <w:rPr>
          <w:rFonts w:cs="Arial"/>
        </w:rPr>
        <w:t xml:space="preserve"> temporary measure of ‘</w:t>
      </w:r>
      <w:r w:rsidR="00736486" w:rsidRPr="00C227DD">
        <w:rPr>
          <w:rFonts w:cs="Arial"/>
        </w:rPr>
        <w:t>P</w:t>
      </w:r>
      <w:r w:rsidRPr="00C227DD">
        <w:rPr>
          <w:rFonts w:cs="Arial"/>
        </w:rPr>
        <w:t>eople working in arts and culture’ does not allow for disaggregation of the workforce by socio-economic or protected equality characteristics</w:t>
      </w:r>
      <w:r w:rsidR="00736486" w:rsidRPr="00C227DD">
        <w:rPr>
          <w:rFonts w:cs="Arial"/>
        </w:rPr>
        <w:t>.</w:t>
      </w:r>
      <w:bookmarkEnd w:id="22"/>
      <w:bookmarkEnd w:id="23"/>
    </w:p>
    <w:p w14:paraId="125CE121" w14:textId="77777777" w:rsidR="00355569" w:rsidRPr="00C227DD" w:rsidRDefault="00355569" w:rsidP="007029A5">
      <w:pPr>
        <w:pStyle w:val="ListParagraph"/>
        <w:ind w:left="709"/>
        <w:rPr>
          <w:rFonts w:cs="Arial"/>
        </w:rPr>
      </w:pPr>
    </w:p>
    <w:p w14:paraId="0BCE7B2E" w14:textId="6796AB14" w:rsidR="00355569" w:rsidRPr="00C227DD" w:rsidRDefault="00355569" w:rsidP="007029A5">
      <w:pPr>
        <w:pStyle w:val="ListParagraph"/>
        <w:numPr>
          <w:ilvl w:val="0"/>
          <w:numId w:val="70"/>
        </w:numPr>
        <w:ind w:left="709" w:hanging="283"/>
        <w:rPr>
          <w:rFonts w:cs="Arial"/>
        </w:rPr>
      </w:pPr>
      <w:bookmarkStart w:id="24" w:name="_Toc130811293"/>
      <w:bookmarkStart w:id="25" w:name="_Toc130915424"/>
      <w:r w:rsidRPr="00C227DD">
        <w:rPr>
          <w:rFonts w:cs="Arial"/>
        </w:rPr>
        <w:t xml:space="preserve">The </w:t>
      </w:r>
      <w:r w:rsidR="009D140D" w:rsidRPr="00C227DD">
        <w:rPr>
          <w:rFonts w:cs="Arial"/>
        </w:rPr>
        <w:t>previous</w:t>
      </w:r>
      <w:r w:rsidRPr="00C227DD">
        <w:rPr>
          <w:rFonts w:cs="Arial"/>
        </w:rPr>
        <w:t xml:space="preserve"> set of indicators pre-date the Culture Strategy for Scotland (published February 2020). The National Partnership for Culture (NPC) and other stakeholders are keen to more closely align the vision and measurement of the Culture Strategy with the national outcome and national indicators.</w:t>
      </w:r>
      <w:bookmarkEnd w:id="24"/>
      <w:bookmarkEnd w:id="25"/>
      <w:r w:rsidRPr="00C227DD">
        <w:rPr>
          <w:rFonts w:cs="Arial"/>
        </w:rPr>
        <w:t xml:space="preserve"> </w:t>
      </w:r>
    </w:p>
    <w:p w14:paraId="57263563" w14:textId="6FDB0AF4" w:rsidR="00295D3D" w:rsidRPr="00736486" w:rsidRDefault="00295D3D" w:rsidP="00736486">
      <w:pPr>
        <w:pStyle w:val="Heading1"/>
        <w:numPr>
          <w:ilvl w:val="0"/>
          <w:numId w:val="0"/>
        </w:numPr>
        <w:rPr>
          <w:rFonts w:cs="Arial"/>
        </w:rPr>
      </w:pPr>
    </w:p>
    <w:p w14:paraId="5346DFB0" w14:textId="5355457F" w:rsidR="002D2EFF" w:rsidRPr="007029A5" w:rsidRDefault="00295D3D" w:rsidP="007D3C36">
      <w:pPr>
        <w:rPr>
          <w:b/>
          <w:bCs/>
        </w:rPr>
      </w:pPr>
      <w:r w:rsidRPr="00736486">
        <w:t xml:space="preserve">The Scottish Government made a commitment to work with stakeholders </w:t>
      </w:r>
      <w:r w:rsidR="005A3E20" w:rsidRPr="00736486">
        <w:t xml:space="preserve">to improve </w:t>
      </w:r>
      <w:r w:rsidRPr="00736486">
        <w:t xml:space="preserve">the measurement of these </w:t>
      </w:r>
      <w:r w:rsidR="00355569" w:rsidRPr="00736486">
        <w:t xml:space="preserve">two </w:t>
      </w:r>
      <w:r w:rsidRPr="00736486">
        <w:t>indicators</w:t>
      </w:r>
      <w:r w:rsidR="00355569" w:rsidRPr="00736486">
        <w:t xml:space="preserve"> and</w:t>
      </w:r>
      <w:r w:rsidRPr="00736486">
        <w:t xml:space="preserve"> </w:t>
      </w:r>
      <w:r w:rsidR="00DC2083">
        <w:t xml:space="preserve">to </w:t>
      </w:r>
      <w:r w:rsidRPr="00736486">
        <w:t xml:space="preserve">remove the ‘temporary’ </w:t>
      </w:r>
      <w:r w:rsidR="00DC2083">
        <w:t>measures in place</w:t>
      </w:r>
      <w:r w:rsidRPr="00736486">
        <w:t>. Th</w:t>
      </w:r>
      <w:r w:rsidR="00355569" w:rsidRPr="00736486">
        <w:t>is</w:t>
      </w:r>
      <w:r w:rsidRPr="00736486">
        <w:t xml:space="preserve"> work</w:t>
      </w:r>
      <w:r w:rsidR="00355569" w:rsidRPr="00736486">
        <w:t xml:space="preserve"> </w:t>
      </w:r>
      <w:r w:rsidR="005A3E20" w:rsidRPr="00736486">
        <w:t>was</w:t>
      </w:r>
      <w:r w:rsidR="00355569" w:rsidRPr="00736486">
        <w:t xml:space="preserve"> led by </w:t>
      </w:r>
      <w:r w:rsidR="00DC2083">
        <w:t xml:space="preserve">analysts from </w:t>
      </w:r>
      <w:r w:rsidR="00355569" w:rsidRPr="00736486">
        <w:t xml:space="preserve">the Office of the Chief Economic Adviser (OCEA), with input from officials from the Culture and Heritage Division, and </w:t>
      </w:r>
      <w:r w:rsidRPr="00736486">
        <w:t>has taken place over several years</w:t>
      </w:r>
      <w:r w:rsidR="00355569" w:rsidRPr="00736486">
        <w:t xml:space="preserve"> from late 2019</w:t>
      </w:r>
      <w:r w:rsidRPr="00736486">
        <w:t>, having been delayed by Covid</w:t>
      </w:r>
      <w:r w:rsidR="00355569" w:rsidRPr="00736486">
        <w:t>-</w:t>
      </w:r>
      <w:r w:rsidRPr="00736486">
        <w:t xml:space="preserve">related work and other priorities. </w:t>
      </w:r>
    </w:p>
    <w:p w14:paraId="620B85BF" w14:textId="77777777" w:rsidR="002D2EFF" w:rsidRPr="002D2EFF" w:rsidRDefault="002D2EFF" w:rsidP="002D2EFF"/>
    <w:p w14:paraId="2C5A4C87" w14:textId="2FC0B7F6" w:rsidR="00355569" w:rsidRDefault="00355569" w:rsidP="00885CE8">
      <w:r w:rsidRPr="00736486">
        <w:t xml:space="preserve">As part of this work, </w:t>
      </w:r>
      <w:r w:rsidR="00C227DD">
        <w:t xml:space="preserve">Scottish Government </w:t>
      </w:r>
      <w:r w:rsidRPr="00736486">
        <w:t xml:space="preserve">analysts </w:t>
      </w:r>
      <w:r w:rsidR="00C227DD">
        <w:t xml:space="preserve">from the Office of the Chief Economic Adviser (OCEA) </w:t>
      </w:r>
      <w:r w:rsidRPr="00736486">
        <w:t>engaged with the Measuring Change Group</w:t>
      </w:r>
      <w:r w:rsidR="009D140D">
        <w:t xml:space="preserve"> (MCG)</w:t>
      </w:r>
      <w:r w:rsidRPr="00736486">
        <w:t xml:space="preserve">, a </w:t>
      </w:r>
      <w:r w:rsidRPr="00736486">
        <w:rPr>
          <w:color w:val="202124"/>
          <w:shd w:val="clear" w:color="auto" w:fill="FFFFFF"/>
        </w:rPr>
        <w:t>sub-group of the NPC</w:t>
      </w:r>
      <w:r w:rsidR="009D140D">
        <w:rPr>
          <w:color w:val="202124"/>
          <w:shd w:val="clear" w:color="auto" w:fill="FFFFFF"/>
        </w:rPr>
        <w:t xml:space="preserve">, in place to </w:t>
      </w:r>
      <w:r w:rsidR="009D140D" w:rsidRPr="005653A1">
        <w:rPr>
          <w:rFonts w:eastAsia="Calibri" w:cs="Arial"/>
        </w:rPr>
        <w:t>advise</w:t>
      </w:r>
      <w:r w:rsidR="009D140D">
        <w:rPr>
          <w:rFonts w:eastAsia="Calibri" w:cs="Arial"/>
        </w:rPr>
        <w:t xml:space="preserve"> the P</w:t>
      </w:r>
      <w:r w:rsidR="009D140D" w:rsidRPr="005653A1">
        <w:rPr>
          <w:rFonts w:eastAsia="Calibri" w:cs="Arial"/>
        </w:rPr>
        <w:t>artners</w:t>
      </w:r>
      <w:r w:rsidR="009D140D">
        <w:rPr>
          <w:rFonts w:eastAsia="Calibri" w:cs="Arial"/>
        </w:rPr>
        <w:t xml:space="preserve">hip on appropriate measures, </w:t>
      </w:r>
      <w:r w:rsidR="009D140D" w:rsidRPr="005653A1">
        <w:rPr>
          <w:rFonts w:eastAsia="Calibri" w:cs="Arial"/>
        </w:rPr>
        <w:t>data and research that would best support decision-making</w:t>
      </w:r>
      <w:r w:rsidR="009D140D">
        <w:rPr>
          <w:rFonts w:eastAsia="Calibri" w:cs="Arial"/>
        </w:rPr>
        <w:t xml:space="preserve"> related to the delivery of the Culture Strategy for Scotland.</w:t>
      </w:r>
      <w:r w:rsidRPr="00736486">
        <w:rPr>
          <w:color w:val="202124"/>
          <w:shd w:val="clear" w:color="auto" w:fill="FFFFFF"/>
        </w:rPr>
        <w:t xml:space="preserve"> </w:t>
      </w:r>
      <w:r w:rsidR="009D140D">
        <w:rPr>
          <w:color w:val="202124"/>
          <w:shd w:val="clear" w:color="auto" w:fill="FFFFFF"/>
        </w:rPr>
        <w:t>The MCG</w:t>
      </w:r>
      <w:r w:rsidRPr="00736486">
        <w:rPr>
          <w:color w:val="202124"/>
          <w:shd w:val="clear" w:color="auto" w:fill="FFFFFF"/>
        </w:rPr>
        <w:t xml:space="preserve"> includes representatives </w:t>
      </w:r>
      <w:r w:rsidRPr="00736486">
        <w:t xml:space="preserve">from academia, Creative Scotland, Culture Counts, the Edinburgh Student Arts Festival, Glasgow Life and the National Trust. </w:t>
      </w:r>
      <w:r w:rsidR="009D140D">
        <w:t>A</w:t>
      </w:r>
      <w:r w:rsidRPr="00736486">
        <w:t>dvice</w:t>
      </w:r>
      <w:r w:rsidR="009D140D">
        <w:t xml:space="preserve"> was also provided</w:t>
      </w:r>
      <w:r w:rsidRPr="00736486">
        <w:t xml:space="preserve"> </w:t>
      </w:r>
      <w:r w:rsidR="009D140D">
        <w:t>by</w:t>
      </w:r>
      <w:r w:rsidRPr="00736486">
        <w:t xml:space="preserve"> the </w:t>
      </w:r>
      <w:r w:rsidRPr="00736486">
        <w:rPr>
          <w:color w:val="000000"/>
        </w:rPr>
        <w:t>Scottish Culture Evidence Network</w:t>
      </w:r>
      <w:r w:rsidRPr="00736486">
        <w:t xml:space="preserve"> (</w:t>
      </w:r>
      <w:proofErr w:type="spellStart"/>
      <w:r w:rsidRPr="00736486">
        <w:t>SCENe</w:t>
      </w:r>
      <w:proofErr w:type="spellEnd"/>
      <w:r w:rsidRPr="00736486">
        <w:t>)</w:t>
      </w:r>
      <w:r w:rsidR="00073F55">
        <w:t>,</w:t>
      </w:r>
      <w:r w:rsidRPr="00736486">
        <w:t xml:space="preserve"> which includes representatives from Creative Scotland, Historic Environment Scotland, Museums and Galleries Scotland, the Scottish Library and Information Council and the Scottish Council on Archives. </w:t>
      </w:r>
      <w:r w:rsidR="00885CE8">
        <w:t xml:space="preserve">Further </w:t>
      </w:r>
      <w:r w:rsidRPr="00736486">
        <w:t>advice</w:t>
      </w:r>
      <w:r w:rsidR="00885CE8">
        <w:t xml:space="preserve"> </w:t>
      </w:r>
      <w:r w:rsidR="00073F55">
        <w:t xml:space="preserve">and endorsement </w:t>
      </w:r>
      <w:r w:rsidR="00885CE8">
        <w:t xml:space="preserve">was also </w:t>
      </w:r>
      <w:r w:rsidR="005F3AC9">
        <w:t>given</w:t>
      </w:r>
      <w:r w:rsidR="00885CE8">
        <w:t xml:space="preserve"> by</w:t>
      </w:r>
      <w:r w:rsidR="00C227DD">
        <w:t xml:space="preserve"> the</w:t>
      </w:r>
      <w:r w:rsidRPr="00736486">
        <w:t xml:space="preserve"> </w:t>
      </w:r>
      <w:r w:rsidR="00885CE8">
        <w:t xml:space="preserve">Scottish Government’s </w:t>
      </w:r>
      <w:r w:rsidRPr="00736486">
        <w:t>NPF Technical Advisory Group (NPFTAG).</w:t>
      </w:r>
    </w:p>
    <w:bookmarkEnd w:id="13"/>
    <w:p w14:paraId="5A349A80" w14:textId="779A42FE" w:rsidR="00355569" w:rsidRPr="00736486" w:rsidRDefault="00355569" w:rsidP="00736486">
      <w:pPr>
        <w:rPr>
          <w:rFonts w:cs="Arial"/>
        </w:rPr>
      </w:pPr>
    </w:p>
    <w:p w14:paraId="1209F2FE" w14:textId="05ADD109" w:rsidR="00C14EFA" w:rsidRPr="00736486" w:rsidRDefault="00885CE8" w:rsidP="007D3C36">
      <w:pPr>
        <w:pStyle w:val="Heading1"/>
      </w:pPr>
      <w:bookmarkStart w:id="26" w:name="_Toc131021894"/>
      <w:r>
        <w:t>Overview of changes</w:t>
      </w:r>
      <w:bookmarkEnd w:id="26"/>
      <w:r w:rsidR="00D111FA">
        <w:t xml:space="preserve"> made</w:t>
      </w:r>
    </w:p>
    <w:p w14:paraId="75306625" w14:textId="77777777" w:rsidR="00B3049D" w:rsidRPr="00736486" w:rsidRDefault="00B3049D" w:rsidP="00386846">
      <w:pPr>
        <w:pStyle w:val="Heading1"/>
        <w:numPr>
          <w:ilvl w:val="0"/>
          <w:numId w:val="0"/>
        </w:numPr>
        <w:rPr>
          <w:rFonts w:cs="Arial"/>
        </w:rPr>
      </w:pPr>
    </w:p>
    <w:p w14:paraId="5CCB8E8E" w14:textId="33776CFF" w:rsidR="00B818C3" w:rsidRPr="00736486" w:rsidRDefault="004439D5" w:rsidP="00885CE8">
      <w:r w:rsidRPr="00736486">
        <w:t>To</w:t>
      </w:r>
      <w:r w:rsidR="00671D73" w:rsidRPr="00736486">
        <w:t xml:space="preserve"> </w:t>
      </w:r>
      <w:r w:rsidR="005A3E20" w:rsidRPr="00736486">
        <w:t xml:space="preserve">address </w:t>
      </w:r>
      <w:r w:rsidR="00885CE8">
        <w:t>the issues</w:t>
      </w:r>
      <w:r w:rsidR="00C227DD">
        <w:t xml:space="preserve"> set out in section 2 above</w:t>
      </w:r>
      <w:r w:rsidR="00671D73" w:rsidRPr="00736486">
        <w:t xml:space="preserve">, </w:t>
      </w:r>
      <w:r w:rsidR="00C14EFA" w:rsidRPr="00736486">
        <w:t>w</w:t>
      </w:r>
      <w:r w:rsidR="0028356A" w:rsidRPr="00736486">
        <w:t xml:space="preserve">ork </w:t>
      </w:r>
      <w:r w:rsidR="00C14EFA" w:rsidRPr="00736486">
        <w:t>was</w:t>
      </w:r>
      <w:r w:rsidR="0028356A" w:rsidRPr="00736486">
        <w:t xml:space="preserve"> taken forward </w:t>
      </w:r>
      <w:bookmarkStart w:id="27" w:name="_Hlk129954869"/>
      <w:r w:rsidR="0028356A" w:rsidRPr="00736486">
        <w:t>to</w:t>
      </w:r>
      <w:r w:rsidR="001827FF" w:rsidRPr="00736486">
        <w:t xml:space="preserve"> </w:t>
      </w:r>
      <w:r w:rsidR="005A3E20" w:rsidRPr="00736486">
        <w:t>broaden the</w:t>
      </w:r>
      <w:r w:rsidR="005E59EA" w:rsidRPr="00736486">
        <w:t xml:space="preserve"> </w:t>
      </w:r>
      <w:r w:rsidR="0028356A" w:rsidRPr="00736486">
        <w:t xml:space="preserve">definition of </w:t>
      </w:r>
      <w:r w:rsidRPr="00736486">
        <w:t xml:space="preserve">the sector for </w:t>
      </w:r>
      <w:r w:rsidR="0028356A" w:rsidRPr="00736486">
        <w:t xml:space="preserve">use in </w:t>
      </w:r>
      <w:r w:rsidRPr="00736486">
        <w:t xml:space="preserve">the </w:t>
      </w:r>
      <w:r w:rsidR="0028356A" w:rsidRPr="00736486">
        <w:t>measurement of these indicators</w:t>
      </w:r>
      <w:r w:rsidR="001827FF" w:rsidRPr="00736486">
        <w:t xml:space="preserve">, </w:t>
      </w:r>
      <w:r w:rsidR="0028356A" w:rsidRPr="00736486">
        <w:t>review the data used in their measurement</w:t>
      </w:r>
      <w:r w:rsidR="001827FF" w:rsidRPr="00736486">
        <w:t xml:space="preserve"> and </w:t>
      </w:r>
      <w:r w:rsidR="0028356A" w:rsidRPr="00736486">
        <w:t xml:space="preserve">develop new </w:t>
      </w:r>
      <w:r w:rsidRPr="00736486">
        <w:t xml:space="preserve">criteria </w:t>
      </w:r>
      <w:r w:rsidR="0028356A" w:rsidRPr="00736486">
        <w:t>of change</w:t>
      </w:r>
      <w:r w:rsidR="00D34774" w:rsidRPr="00736486">
        <w:t xml:space="preserve"> for gauging the performance of each indicator</w:t>
      </w:r>
      <w:r w:rsidR="001827FF" w:rsidRPr="00736486">
        <w:t>.</w:t>
      </w:r>
      <w:r w:rsidR="005A3E20" w:rsidRPr="00736486">
        <w:t xml:space="preserve"> </w:t>
      </w:r>
      <w:bookmarkEnd w:id="27"/>
      <w:r w:rsidR="005A3E20" w:rsidRPr="00736486">
        <w:t xml:space="preserve">These </w:t>
      </w:r>
      <w:r w:rsidR="005377A4">
        <w:t>were</w:t>
      </w:r>
      <w:r w:rsidR="005A3E20" w:rsidRPr="00736486">
        <w:t xml:space="preserve"> developed with input from key stakeholders linked to the Culture Strategy</w:t>
      </w:r>
      <w:r w:rsidR="006D5B3F">
        <w:t>. Details of each</w:t>
      </w:r>
      <w:r w:rsidR="00AB2DEF" w:rsidRPr="00736486">
        <w:t xml:space="preserve"> change</w:t>
      </w:r>
      <w:r w:rsidR="006D5B3F">
        <w:t xml:space="preserve"> and</w:t>
      </w:r>
      <w:r w:rsidR="00C227DD">
        <w:t xml:space="preserve"> its</w:t>
      </w:r>
      <w:r w:rsidR="006D5B3F">
        <w:t xml:space="preserve"> impact</w:t>
      </w:r>
      <w:r w:rsidR="00AB2DEF" w:rsidRPr="00736486">
        <w:t xml:space="preserve"> </w:t>
      </w:r>
      <w:r w:rsidR="006D5B3F">
        <w:t>are</w:t>
      </w:r>
      <w:r w:rsidR="00AB2DEF" w:rsidRPr="00736486">
        <w:t xml:space="preserve"> set out below</w:t>
      </w:r>
      <w:r w:rsidR="00C227DD">
        <w:t>.</w:t>
      </w:r>
    </w:p>
    <w:p w14:paraId="0D5E9AE3" w14:textId="77777777" w:rsidR="0073664B" w:rsidRPr="00736486" w:rsidRDefault="0073664B" w:rsidP="00E13B12">
      <w:pPr>
        <w:rPr>
          <w:rFonts w:cs="Arial"/>
        </w:rPr>
      </w:pPr>
    </w:p>
    <w:p w14:paraId="5402231A" w14:textId="674E711D" w:rsidR="008B462A" w:rsidRPr="00736486" w:rsidRDefault="008B462A" w:rsidP="007D3C36">
      <w:pPr>
        <w:pStyle w:val="Heading2"/>
      </w:pPr>
      <w:bookmarkStart w:id="28" w:name="_Toc131021895"/>
      <w:r w:rsidRPr="00736486">
        <w:t>Broaden</w:t>
      </w:r>
      <w:r w:rsidR="00D111FA">
        <w:t>ing</w:t>
      </w:r>
      <w:r w:rsidRPr="00736486">
        <w:t xml:space="preserve"> the </w:t>
      </w:r>
      <w:r w:rsidR="004439D5" w:rsidRPr="00736486">
        <w:t>d</w:t>
      </w:r>
      <w:r w:rsidRPr="00736486">
        <w:t xml:space="preserve">efinition of the </w:t>
      </w:r>
      <w:r w:rsidR="004439D5" w:rsidRPr="00736486">
        <w:t>s</w:t>
      </w:r>
      <w:r w:rsidRPr="00736486">
        <w:t>ector</w:t>
      </w:r>
      <w:bookmarkEnd w:id="28"/>
      <w:r w:rsidR="00D111FA">
        <w:t xml:space="preserve"> and renaming the national indictors</w:t>
      </w:r>
    </w:p>
    <w:p w14:paraId="0828B3D5" w14:textId="2084C1BA" w:rsidR="00B818C3" w:rsidRDefault="00B818C3" w:rsidP="00B33419">
      <w:pPr>
        <w:rPr>
          <w:rFonts w:cs="Arial"/>
        </w:rPr>
      </w:pPr>
    </w:p>
    <w:p w14:paraId="2008D06B" w14:textId="55626630" w:rsidR="007D3C36" w:rsidRPr="007029A5" w:rsidRDefault="007D3C36" w:rsidP="00B33419">
      <w:pPr>
        <w:rPr>
          <w:rFonts w:cs="Arial"/>
          <w:b/>
          <w:bCs/>
        </w:rPr>
      </w:pPr>
      <w:r w:rsidRPr="007029A5">
        <w:rPr>
          <w:rFonts w:cs="Arial"/>
          <w:b/>
          <w:bCs/>
        </w:rPr>
        <w:t>Change</w:t>
      </w:r>
      <w:r w:rsidR="00D111FA">
        <w:rPr>
          <w:rFonts w:cs="Arial"/>
          <w:b/>
          <w:bCs/>
        </w:rPr>
        <w:t>s</w:t>
      </w:r>
      <w:r w:rsidRPr="007029A5">
        <w:rPr>
          <w:rFonts w:cs="Arial"/>
          <w:b/>
          <w:bCs/>
        </w:rPr>
        <w:t xml:space="preserve"> </w:t>
      </w:r>
      <w:r w:rsidR="00D111FA">
        <w:rPr>
          <w:rFonts w:cs="Arial"/>
          <w:b/>
          <w:bCs/>
        </w:rPr>
        <w:t>made</w:t>
      </w:r>
    </w:p>
    <w:p w14:paraId="12665311" w14:textId="77777777" w:rsidR="007D3C36" w:rsidRPr="004731BC" w:rsidRDefault="007D3C36" w:rsidP="00B33419">
      <w:pPr>
        <w:rPr>
          <w:rFonts w:cs="Arial"/>
        </w:rPr>
      </w:pPr>
    </w:p>
    <w:p w14:paraId="1C87A87B" w14:textId="0653D708" w:rsidR="00B818C3" w:rsidRDefault="004439D5" w:rsidP="00885CE8">
      <w:r w:rsidRPr="00885CE8">
        <w:t xml:space="preserve">While </w:t>
      </w:r>
      <w:r w:rsidR="00A76F17" w:rsidRPr="00885CE8">
        <w:t xml:space="preserve">the </w:t>
      </w:r>
      <w:r w:rsidR="000F111C">
        <w:t>C</w:t>
      </w:r>
      <w:r w:rsidR="00A76F17" w:rsidRPr="00885CE8">
        <w:t xml:space="preserve">reative </w:t>
      </w:r>
      <w:r w:rsidR="000F111C">
        <w:t>I</w:t>
      </w:r>
      <w:r w:rsidR="00A76F17" w:rsidRPr="00885CE8">
        <w:t xml:space="preserve">ndustries growth sector definition </w:t>
      </w:r>
      <w:r w:rsidR="000F111C">
        <w:t xml:space="preserve">previously </w:t>
      </w:r>
      <w:r w:rsidR="00A76F17" w:rsidRPr="00885CE8">
        <w:t xml:space="preserve">used for the national indicators </w:t>
      </w:r>
      <w:r w:rsidR="008B462A" w:rsidRPr="00885CE8">
        <w:t>covers the majority of arts</w:t>
      </w:r>
      <w:r w:rsidR="00D34774" w:rsidRPr="00885CE8">
        <w:t>,</w:t>
      </w:r>
      <w:r w:rsidR="008B462A" w:rsidRPr="00885CE8">
        <w:t xml:space="preserve"> culture </w:t>
      </w:r>
      <w:r w:rsidR="00D34774" w:rsidRPr="00885CE8">
        <w:t xml:space="preserve">and creative </w:t>
      </w:r>
      <w:r w:rsidR="008B462A" w:rsidRPr="00885CE8">
        <w:t xml:space="preserve">activities, there </w:t>
      </w:r>
      <w:r w:rsidR="000F111C">
        <w:t>was</w:t>
      </w:r>
      <w:r w:rsidR="008B462A" w:rsidRPr="00885CE8">
        <w:t xml:space="preserve"> </w:t>
      </w:r>
      <w:r w:rsidR="000F111C">
        <w:t>appetite</w:t>
      </w:r>
      <w:r w:rsidR="008B462A" w:rsidRPr="00885CE8">
        <w:t xml:space="preserve"> from external stakeholders to expand this definition to include additional cultural areas such as heritage. </w:t>
      </w:r>
      <w:r w:rsidR="00885CE8" w:rsidRPr="00426BDC">
        <w:t>In 2021, an assessment was carried out</w:t>
      </w:r>
      <w:r w:rsidR="00885CE8">
        <w:t xml:space="preserve">, </w:t>
      </w:r>
      <w:r w:rsidR="00885CE8" w:rsidRPr="00426BDC">
        <w:t xml:space="preserve">with input from the Measuring Change Group and </w:t>
      </w:r>
      <w:proofErr w:type="spellStart"/>
      <w:r w:rsidR="00885CE8" w:rsidRPr="00426BDC">
        <w:t>SCENe</w:t>
      </w:r>
      <w:proofErr w:type="spellEnd"/>
      <w:r w:rsidR="00885CE8">
        <w:t>,</w:t>
      </w:r>
      <w:r w:rsidR="00885CE8" w:rsidRPr="00426BDC">
        <w:t xml:space="preserve"> on a list of possible activities (defined using </w:t>
      </w:r>
      <w:r w:rsidR="00885CE8">
        <w:lastRenderedPageBreak/>
        <w:t>standard industrial classification ‘S</w:t>
      </w:r>
      <w:r w:rsidR="00885CE8" w:rsidRPr="00426BDC">
        <w:t>IC</w:t>
      </w:r>
      <w:r w:rsidR="00885CE8">
        <w:t>’</w:t>
      </w:r>
      <w:r w:rsidR="00885CE8" w:rsidRPr="00426BDC">
        <w:t xml:space="preserve"> codes) that could be added to the </w:t>
      </w:r>
      <w:r w:rsidR="00DC2083">
        <w:t>previous</w:t>
      </w:r>
      <w:r w:rsidR="00885CE8">
        <w:t xml:space="preserve"> </w:t>
      </w:r>
      <w:r w:rsidR="00885CE8" w:rsidRPr="00426BDC">
        <w:t>definition based on a number of criteria</w:t>
      </w:r>
      <w:r w:rsidR="00885CE8">
        <w:t>.</w:t>
      </w:r>
      <w:r w:rsidR="00885CE8">
        <w:rPr>
          <w:rStyle w:val="FootnoteReference"/>
        </w:rPr>
        <w:footnoteReference w:id="2"/>
      </w:r>
      <w:r w:rsidR="00885CE8" w:rsidRPr="00885CE8">
        <w:rPr>
          <w:b/>
        </w:rPr>
        <w:t xml:space="preserve"> </w:t>
      </w:r>
      <w:r w:rsidR="00885CE8" w:rsidRPr="00426BDC">
        <w:t xml:space="preserve">As a result of this assessment, nine additional SIC codes, as set out in </w:t>
      </w:r>
      <w:r w:rsidR="00885CE8" w:rsidRPr="00885CE8">
        <w:rPr>
          <w:b/>
          <w:bCs/>
        </w:rPr>
        <w:t>Table 1</w:t>
      </w:r>
      <w:r w:rsidR="00885CE8" w:rsidRPr="00426BDC">
        <w:t xml:space="preserve">, </w:t>
      </w:r>
      <w:r w:rsidR="00885CE8">
        <w:t>were</w:t>
      </w:r>
      <w:r w:rsidR="00885CE8" w:rsidRPr="00426BDC">
        <w:t xml:space="preserve"> added to the </w:t>
      </w:r>
      <w:r w:rsidR="00DC2083">
        <w:t>previously used</w:t>
      </w:r>
      <w:r w:rsidR="00885CE8" w:rsidRPr="00426BDC">
        <w:t xml:space="preserve"> sector definition to create an ad-hoc ‘creative/culture’ sector definition for </w:t>
      </w:r>
      <w:r w:rsidR="000F111C">
        <w:t xml:space="preserve">use in </w:t>
      </w:r>
      <w:r w:rsidR="00885CE8" w:rsidRPr="00426BDC">
        <w:t xml:space="preserve">NPF purposes only. </w:t>
      </w:r>
      <w:r w:rsidR="00DC2083">
        <w:t xml:space="preserve">The complete set of SIC codes used to define sector is set out in </w:t>
      </w:r>
      <w:r w:rsidR="00DC2083" w:rsidRPr="00DC2083">
        <w:rPr>
          <w:b/>
          <w:bCs/>
        </w:rPr>
        <w:t>Annex B</w:t>
      </w:r>
      <w:r w:rsidR="00DC2083">
        <w:t xml:space="preserve">. </w:t>
      </w:r>
      <w:r w:rsidR="00885CE8" w:rsidRPr="00426BDC">
        <w:t>This change impact</w:t>
      </w:r>
      <w:r w:rsidR="000F111C">
        <w:t>s the sector definition</w:t>
      </w:r>
      <w:r w:rsidR="00885CE8" w:rsidRPr="00426BDC">
        <w:t xml:space="preserve"> </w:t>
      </w:r>
      <w:r w:rsidR="000F111C">
        <w:t xml:space="preserve">of </w:t>
      </w:r>
      <w:r w:rsidR="00885CE8" w:rsidRPr="00426BDC">
        <w:t xml:space="preserve">both indicators. </w:t>
      </w:r>
    </w:p>
    <w:p w14:paraId="3CD0901F" w14:textId="2835C24A" w:rsidR="002D2EFF" w:rsidRDefault="002D2EFF" w:rsidP="002D2EFF"/>
    <w:p w14:paraId="7F579EFB" w14:textId="469DCB85" w:rsidR="002D2EFF" w:rsidRPr="00736486" w:rsidRDefault="002D2EFF" w:rsidP="002D2EFF">
      <w:pPr>
        <w:rPr>
          <w:rFonts w:cs="Arial"/>
        </w:rPr>
      </w:pPr>
      <w:r w:rsidRPr="00736486">
        <w:rPr>
          <w:rFonts w:cs="Arial"/>
          <w:b/>
          <w:bCs/>
        </w:rPr>
        <w:t xml:space="preserve">Table </w:t>
      </w:r>
      <w:r w:rsidR="005F3AC9">
        <w:rPr>
          <w:rFonts w:cs="Arial"/>
          <w:b/>
          <w:bCs/>
        </w:rPr>
        <w:t>1</w:t>
      </w:r>
      <w:r w:rsidRPr="00736486">
        <w:rPr>
          <w:rFonts w:cs="Arial"/>
          <w:b/>
          <w:bCs/>
        </w:rPr>
        <w:t>:</w:t>
      </w:r>
      <w:r w:rsidRPr="00736486">
        <w:rPr>
          <w:rFonts w:cs="Arial"/>
        </w:rPr>
        <w:t xml:space="preserve"> </w:t>
      </w:r>
      <w:r w:rsidRPr="00736486">
        <w:rPr>
          <w:rFonts w:cs="Arial"/>
          <w:b/>
          <w:color w:val="000000"/>
        </w:rPr>
        <w:t xml:space="preserve">SIC codes added to the </w:t>
      </w:r>
      <w:r w:rsidR="00DC2083">
        <w:rPr>
          <w:rFonts w:cs="Arial"/>
          <w:b/>
          <w:color w:val="000000"/>
        </w:rPr>
        <w:t>previous</w:t>
      </w:r>
      <w:r w:rsidRPr="00736486">
        <w:rPr>
          <w:rFonts w:cs="Arial"/>
          <w:b/>
          <w:color w:val="000000"/>
        </w:rPr>
        <w:t xml:space="preserve"> sector definition</w:t>
      </w:r>
    </w:p>
    <w:tbl>
      <w:tblPr>
        <w:tblW w:w="9359" w:type="dxa"/>
        <w:tblInd w:w="-13" w:type="dxa"/>
        <w:tblCellMar>
          <w:left w:w="0" w:type="dxa"/>
          <w:right w:w="0" w:type="dxa"/>
        </w:tblCellMar>
        <w:tblLook w:val="04A0" w:firstRow="1" w:lastRow="0" w:firstColumn="1" w:lastColumn="0" w:noHBand="0" w:noVBand="1"/>
      </w:tblPr>
      <w:tblGrid>
        <w:gridCol w:w="2271"/>
        <w:gridCol w:w="7088"/>
      </w:tblGrid>
      <w:tr w:rsidR="002D2EFF" w:rsidRPr="00736486" w14:paraId="1CA3F6F2" w14:textId="77777777" w:rsidTr="0056627D">
        <w:trPr>
          <w:trHeight w:val="215"/>
        </w:trPr>
        <w:tc>
          <w:tcPr>
            <w:tcW w:w="2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B046F" w14:textId="77777777" w:rsidR="002D2EFF" w:rsidRPr="00736486" w:rsidRDefault="002D2EFF" w:rsidP="00DA49B9">
            <w:pPr>
              <w:jc w:val="center"/>
              <w:rPr>
                <w:rFonts w:cs="Arial"/>
                <w:szCs w:val="24"/>
              </w:rPr>
            </w:pPr>
            <w:r w:rsidRPr="00736486">
              <w:rPr>
                <w:rFonts w:cs="Arial"/>
                <w:b/>
                <w:bCs/>
                <w:color w:val="000000"/>
                <w:szCs w:val="24"/>
              </w:rPr>
              <w:t>Sub-sector</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65FCE8" w14:textId="77777777" w:rsidR="002D2EFF" w:rsidRPr="00736486" w:rsidRDefault="002D2EFF" w:rsidP="00DA49B9">
            <w:pPr>
              <w:jc w:val="center"/>
              <w:rPr>
                <w:rFonts w:cs="Arial"/>
                <w:szCs w:val="24"/>
              </w:rPr>
            </w:pPr>
            <w:r w:rsidRPr="00736486">
              <w:rPr>
                <w:rFonts w:cs="Arial"/>
                <w:b/>
                <w:bCs/>
                <w:color w:val="000000"/>
                <w:szCs w:val="24"/>
              </w:rPr>
              <w:t>SIC 2007 code</w:t>
            </w:r>
          </w:p>
        </w:tc>
      </w:tr>
      <w:tr w:rsidR="002D2EFF" w:rsidRPr="00736486" w14:paraId="053D4BB8" w14:textId="77777777" w:rsidTr="00DA49B9">
        <w:trPr>
          <w:trHeight w:val="315"/>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457143" w14:textId="77777777" w:rsidR="002D2EFF" w:rsidRPr="00736486" w:rsidRDefault="002D2EFF" w:rsidP="00DA49B9">
            <w:pPr>
              <w:rPr>
                <w:rFonts w:cs="Arial"/>
                <w:szCs w:val="24"/>
              </w:rPr>
            </w:pPr>
            <w:r w:rsidRPr="00736486">
              <w:rPr>
                <w:rFonts w:cs="Arial"/>
                <w:b/>
                <w:bCs/>
                <w:color w:val="000000"/>
                <w:szCs w:val="24"/>
              </w:rPr>
              <w:t>Heritage</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16FEE4" w14:textId="77777777" w:rsidR="002D2EFF" w:rsidRPr="00736486" w:rsidRDefault="002D2EFF" w:rsidP="00DA49B9">
            <w:pPr>
              <w:rPr>
                <w:rFonts w:cs="Arial"/>
                <w:szCs w:val="24"/>
              </w:rPr>
            </w:pPr>
            <w:r w:rsidRPr="00736486">
              <w:rPr>
                <w:rFonts w:cs="Arial"/>
                <w:color w:val="000000"/>
                <w:szCs w:val="24"/>
              </w:rPr>
              <w:t>91.02: Museum activities</w:t>
            </w:r>
          </w:p>
        </w:tc>
      </w:tr>
      <w:tr w:rsidR="002D2EFF" w:rsidRPr="00736486" w14:paraId="0FD2ABC8" w14:textId="77777777" w:rsidTr="00DA49B9">
        <w:trPr>
          <w:trHeight w:val="315"/>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8E91FC" w14:textId="77777777" w:rsidR="002D2EFF" w:rsidRPr="00736486" w:rsidRDefault="002D2EFF" w:rsidP="00DA49B9">
            <w:pPr>
              <w:rPr>
                <w:rFonts w:cs="Arial"/>
                <w:szCs w:val="24"/>
              </w:rPr>
            </w:pPr>
            <w:r w:rsidRPr="00736486">
              <w:rPr>
                <w:rFonts w:cs="Arial"/>
                <w:b/>
                <w:bCs/>
                <w:color w:val="000000"/>
                <w:szCs w:val="24"/>
              </w:rPr>
              <w:t>Heritage</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83369B" w14:textId="77777777" w:rsidR="002D2EFF" w:rsidRPr="00736486" w:rsidRDefault="002D2EFF" w:rsidP="00DA49B9">
            <w:pPr>
              <w:rPr>
                <w:rFonts w:cs="Arial"/>
                <w:szCs w:val="24"/>
              </w:rPr>
            </w:pPr>
            <w:r w:rsidRPr="00736486">
              <w:rPr>
                <w:rFonts w:cs="Arial"/>
                <w:color w:val="000000"/>
                <w:szCs w:val="24"/>
              </w:rPr>
              <w:t>91.03: Operation of historic environment sites</w:t>
            </w:r>
          </w:p>
        </w:tc>
      </w:tr>
      <w:tr w:rsidR="002D2EFF" w:rsidRPr="00736486" w14:paraId="4573C51B" w14:textId="77777777" w:rsidTr="00DA49B9">
        <w:trPr>
          <w:trHeight w:val="466"/>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14D879" w14:textId="77777777" w:rsidR="002D2EFF" w:rsidRPr="00736486" w:rsidRDefault="002D2EFF" w:rsidP="00DA49B9">
            <w:pPr>
              <w:rPr>
                <w:rFonts w:cs="Arial"/>
                <w:szCs w:val="24"/>
              </w:rPr>
            </w:pPr>
            <w:r w:rsidRPr="00736486">
              <w:rPr>
                <w:rFonts w:cs="Arial"/>
                <w:b/>
                <w:bCs/>
                <w:color w:val="000000"/>
                <w:szCs w:val="24"/>
              </w:rPr>
              <w:t>Audio-Visual</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C15201" w14:textId="77777777" w:rsidR="002D2EFF" w:rsidRPr="00736486" w:rsidRDefault="002D2EFF" w:rsidP="00DA49B9">
            <w:pPr>
              <w:rPr>
                <w:rFonts w:cs="Arial"/>
                <w:szCs w:val="24"/>
              </w:rPr>
            </w:pPr>
            <w:r w:rsidRPr="00736486">
              <w:rPr>
                <w:rFonts w:cs="Arial"/>
                <w:color w:val="000000"/>
                <w:szCs w:val="24"/>
              </w:rPr>
              <w:t>47.63: Retail sale of music and video recordings in specialised stores</w:t>
            </w:r>
          </w:p>
        </w:tc>
      </w:tr>
      <w:tr w:rsidR="002D2EFF" w:rsidRPr="00736486" w14:paraId="5FFF80D3" w14:textId="77777777" w:rsidTr="00DA49B9">
        <w:trPr>
          <w:trHeight w:val="401"/>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5D875C" w14:textId="77777777" w:rsidR="002D2EFF" w:rsidRPr="00736486" w:rsidRDefault="002D2EFF" w:rsidP="00DA49B9">
            <w:pPr>
              <w:rPr>
                <w:rFonts w:cs="Arial"/>
                <w:szCs w:val="24"/>
              </w:rPr>
            </w:pPr>
            <w:r w:rsidRPr="00736486">
              <w:rPr>
                <w:rFonts w:cs="Arial"/>
                <w:b/>
                <w:bCs/>
                <w:color w:val="000000"/>
                <w:szCs w:val="24"/>
              </w:rPr>
              <w:t>Audio-Visual</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1E9322" w14:textId="77777777" w:rsidR="002D2EFF" w:rsidRPr="00736486" w:rsidRDefault="002D2EFF" w:rsidP="00DA49B9">
            <w:pPr>
              <w:rPr>
                <w:rFonts w:cs="Arial"/>
                <w:szCs w:val="24"/>
              </w:rPr>
            </w:pPr>
            <w:r w:rsidRPr="00736486">
              <w:rPr>
                <w:rFonts w:cs="Arial"/>
                <w:color w:val="000000"/>
                <w:szCs w:val="24"/>
              </w:rPr>
              <w:t>47.59/1: Retail sale of musical instruments and scores in specialised stores</w:t>
            </w:r>
          </w:p>
        </w:tc>
      </w:tr>
      <w:tr w:rsidR="002D2EFF" w:rsidRPr="00736486" w14:paraId="53ECFCD2" w14:textId="77777777" w:rsidTr="00DA49B9">
        <w:trPr>
          <w:trHeight w:val="395"/>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FE1A0F" w14:textId="77777777" w:rsidR="002D2EFF" w:rsidRPr="00736486" w:rsidRDefault="002D2EFF" w:rsidP="00DA49B9">
            <w:pPr>
              <w:rPr>
                <w:rFonts w:cs="Arial"/>
                <w:szCs w:val="24"/>
              </w:rPr>
            </w:pPr>
            <w:r w:rsidRPr="00736486">
              <w:rPr>
                <w:rFonts w:cs="Arial"/>
                <w:b/>
                <w:bCs/>
                <w:color w:val="000000"/>
                <w:szCs w:val="24"/>
              </w:rPr>
              <w:t>Audio-Visual</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3A9183" w14:textId="77777777" w:rsidR="002D2EFF" w:rsidRPr="00736486" w:rsidRDefault="002D2EFF" w:rsidP="00DA49B9">
            <w:pPr>
              <w:rPr>
                <w:rFonts w:cs="Arial"/>
                <w:szCs w:val="24"/>
              </w:rPr>
            </w:pPr>
            <w:r w:rsidRPr="00736486">
              <w:rPr>
                <w:rFonts w:cs="Arial"/>
                <w:color w:val="000000"/>
                <w:szCs w:val="24"/>
              </w:rPr>
              <w:t>74.30: Translation and interpretation activities</w:t>
            </w:r>
          </w:p>
        </w:tc>
      </w:tr>
      <w:tr w:rsidR="002D2EFF" w:rsidRPr="00736486" w14:paraId="3C909FBD" w14:textId="77777777" w:rsidTr="00DA49B9">
        <w:trPr>
          <w:trHeight w:val="398"/>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ABE0E7" w14:textId="77777777" w:rsidR="002D2EFF" w:rsidRPr="00736486" w:rsidRDefault="002D2EFF" w:rsidP="00DA49B9">
            <w:pPr>
              <w:rPr>
                <w:rFonts w:cs="Arial"/>
                <w:szCs w:val="24"/>
              </w:rPr>
            </w:pPr>
            <w:r w:rsidRPr="00736486">
              <w:rPr>
                <w:rFonts w:cs="Arial"/>
                <w:b/>
                <w:bCs/>
                <w:color w:val="000000"/>
                <w:szCs w:val="24"/>
              </w:rPr>
              <w:t>Audio-Visual</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DFC4DF" w14:textId="77777777" w:rsidR="002D2EFF" w:rsidRPr="00736486" w:rsidRDefault="002D2EFF" w:rsidP="00DA49B9">
            <w:pPr>
              <w:rPr>
                <w:rFonts w:cs="Arial"/>
                <w:szCs w:val="24"/>
              </w:rPr>
            </w:pPr>
            <w:r w:rsidRPr="00736486">
              <w:rPr>
                <w:rFonts w:cs="Arial"/>
                <w:color w:val="000000"/>
                <w:szCs w:val="24"/>
              </w:rPr>
              <w:t>77.22: Renting of video tapes and disks</w:t>
            </w:r>
          </w:p>
        </w:tc>
      </w:tr>
      <w:tr w:rsidR="002D2EFF" w:rsidRPr="00736486" w14:paraId="435B54E0" w14:textId="77777777" w:rsidTr="00DA49B9">
        <w:trPr>
          <w:trHeight w:val="420"/>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4CF1E6" w14:textId="77777777" w:rsidR="002D2EFF" w:rsidRPr="00736486" w:rsidRDefault="002D2EFF" w:rsidP="00DA49B9">
            <w:pPr>
              <w:rPr>
                <w:rFonts w:cs="Arial"/>
                <w:szCs w:val="24"/>
              </w:rPr>
            </w:pPr>
            <w:r w:rsidRPr="00736486">
              <w:rPr>
                <w:rFonts w:cs="Arial"/>
                <w:b/>
                <w:bCs/>
                <w:color w:val="000000"/>
                <w:szCs w:val="24"/>
              </w:rPr>
              <w:t>Visual Art</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E8CF09" w14:textId="77777777" w:rsidR="002D2EFF" w:rsidRPr="00736486" w:rsidRDefault="002D2EFF" w:rsidP="00DA49B9">
            <w:pPr>
              <w:rPr>
                <w:rFonts w:cs="Arial"/>
                <w:szCs w:val="24"/>
              </w:rPr>
            </w:pPr>
            <w:r w:rsidRPr="00736486">
              <w:rPr>
                <w:rFonts w:cs="Arial"/>
                <w:color w:val="000000"/>
                <w:szCs w:val="24"/>
              </w:rPr>
              <w:t>70.21: Public relations and communication activities</w:t>
            </w:r>
          </w:p>
        </w:tc>
      </w:tr>
      <w:tr w:rsidR="002D2EFF" w:rsidRPr="00736486" w14:paraId="11400B84" w14:textId="77777777" w:rsidTr="00DA49B9">
        <w:trPr>
          <w:trHeight w:val="392"/>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D3EF97" w14:textId="77777777" w:rsidR="002D2EFF" w:rsidRPr="00736486" w:rsidRDefault="002D2EFF" w:rsidP="00DA49B9">
            <w:pPr>
              <w:rPr>
                <w:rFonts w:cs="Arial"/>
                <w:szCs w:val="24"/>
              </w:rPr>
            </w:pPr>
            <w:r w:rsidRPr="00736486">
              <w:rPr>
                <w:rFonts w:cs="Arial"/>
                <w:b/>
                <w:bCs/>
                <w:szCs w:val="24"/>
              </w:rPr>
              <w:t>Books and Press</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9B4201" w14:textId="77777777" w:rsidR="002D2EFF" w:rsidRPr="00736486" w:rsidRDefault="002D2EFF" w:rsidP="00DA49B9">
            <w:pPr>
              <w:rPr>
                <w:rFonts w:cs="Arial"/>
                <w:szCs w:val="24"/>
              </w:rPr>
            </w:pPr>
            <w:r w:rsidRPr="00736486">
              <w:rPr>
                <w:rFonts w:cs="Arial"/>
                <w:szCs w:val="24"/>
              </w:rPr>
              <w:t>18.14: Binding and related services</w:t>
            </w:r>
          </w:p>
        </w:tc>
      </w:tr>
      <w:tr w:rsidR="002D2EFF" w:rsidRPr="00736486" w14:paraId="4A9E1D74" w14:textId="77777777" w:rsidTr="00DA49B9">
        <w:trPr>
          <w:trHeight w:val="399"/>
        </w:trPr>
        <w:tc>
          <w:tcPr>
            <w:tcW w:w="2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0670B0" w14:textId="77777777" w:rsidR="002D2EFF" w:rsidRPr="00736486" w:rsidRDefault="002D2EFF" w:rsidP="00DA49B9">
            <w:pPr>
              <w:rPr>
                <w:rFonts w:cs="Arial"/>
                <w:szCs w:val="24"/>
              </w:rPr>
            </w:pPr>
            <w:r w:rsidRPr="00736486">
              <w:rPr>
                <w:rFonts w:cs="Arial"/>
                <w:b/>
                <w:bCs/>
                <w:szCs w:val="24"/>
              </w:rPr>
              <w:t>Books and Press</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1DF072" w14:textId="77777777" w:rsidR="002D2EFF" w:rsidRPr="00736486" w:rsidRDefault="002D2EFF" w:rsidP="00DA49B9">
            <w:pPr>
              <w:rPr>
                <w:rFonts w:cs="Arial"/>
                <w:szCs w:val="24"/>
              </w:rPr>
            </w:pPr>
            <w:r w:rsidRPr="00736486">
              <w:rPr>
                <w:rFonts w:cs="Arial"/>
                <w:szCs w:val="24"/>
              </w:rPr>
              <w:t>47.61: Retail sale of books in specialised stores</w:t>
            </w:r>
          </w:p>
        </w:tc>
      </w:tr>
    </w:tbl>
    <w:p w14:paraId="17DF37A4" w14:textId="77777777" w:rsidR="007D3C36" w:rsidRPr="002D2EFF" w:rsidRDefault="007D3C36" w:rsidP="002D2EFF"/>
    <w:p w14:paraId="03D45FBC" w14:textId="3366CECB" w:rsidR="00885CE8" w:rsidRDefault="005F3AC9" w:rsidP="00885CE8">
      <w:r>
        <w:t>In addition, g</w:t>
      </w:r>
      <w:r w:rsidR="00885CE8" w:rsidRPr="00736486">
        <w:t xml:space="preserve">iven the change to the sector definition, stakeholders proposed adapting the </w:t>
      </w:r>
      <w:r w:rsidR="00DC2083">
        <w:t>names of each</w:t>
      </w:r>
      <w:r w:rsidR="00885CE8" w:rsidRPr="00736486">
        <w:t xml:space="preserve"> national indicator to reflect the broader definition. </w:t>
      </w:r>
      <w:r w:rsidR="00885CE8">
        <w:t>Therefore, the</w:t>
      </w:r>
      <w:r w:rsidR="00885CE8" w:rsidRPr="00736486">
        <w:t xml:space="preserve"> indicators </w:t>
      </w:r>
      <w:r w:rsidR="00885CE8">
        <w:t>were</w:t>
      </w:r>
      <w:r w:rsidR="00885CE8" w:rsidRPr="00736486">
        <w:t xml:space="preserve"> renamed to: ‘</w:t>
      </w:r>
      <w:r w:rsidR="00885CE8">
        <w:t>G</w:t>
      </w:r>
      <w:r w:rsidR="00885CE8" w:rsidRPr="00736486">
        <w:t>rowth in the arts, culture and creative economy’ and ‘</w:t>
      </w:r>
      <w:r w:rsidR="00885CE8">
        <w:t>P</w:t>
      </w:r>
      <w:r w:rsidR="00885CE8" w:rsidRPr="00736486">
        <w:t>eople working in arts, culture and creative industries’.</w:t>
      </w:r>
    </w:p>
    <w:p w14:paraId="3C5F2C60" w14:textId="2A36295B" w:rsidR="007D3C36" w:rsidRPr="004731BC" w:rsidRDefault="007D3C36" w:rsidP="00885CE8"/>
    <w:p w14:paraId="7ADD50A9" w14:textId="74FD8F97" w:rsidR="007D3C36" w:rsidRPr="007029A5" w:rsidRDefault="007D3C36" w:rsidP="00885CE8">
      <w:pPr>
        <w:rPr>
          <w:rFonts w:cs="Arial"/>
          <w:b/>
          <w:bCs/>
        </w:rPr>
      </w:pPr>
      <w:r w:rsidRPr="007029A5">
        <w:rPr>
          <w:rFonts w:cs="Arial"/>
          <w:b/>
          <w:bCs/>
        </w:rPr>
        <w:t xml:space="preserve">Impact </w:t>
      </w:r>
    </w:p>
    <w:p w14:paraId="0F80D3E5" w14:textId="5C4DC345" w:rsidR="007D3C36" w:rsidRDefault="007D3C36" w:rsidP="00885CE8">
      <w:pPr>
        <w:rPr>
          <w:b/>
          <w:bCs/>
          <w:u w:val="single"/>
        </w:rPr>
      </w:pPr>
    </w:p>
    <w:p w14:paraId="42C6E0B2" w14:textId="14393308" w:rsidR="007D3C36" w:rsidRPr="00736486" w:rsidRDefault="007D3C36" w:rsidP="007D3C36">
      <w:r w:rsidRPr="00736486">
        <w:t xml:space="preserve">Since 2015, the impact of expanding the culture sector definition to include the nine SIC codes set out in </w:t>
      </w:r>
      <w:r>
        <w:t>Table 1</w:t>
      </w:r>
      <w:r w:rsidRPr="00736486">
        <w:t xml:space="preserve"> has increased the sector’s GVA on average by around £100 million </w:t>
      </w:r>
      <w:r w:rsidR="008C282E">
        <w:t xml:space="preserve">(equivalent to around a 2% increase) </w:t>
      </w:r>
      <w:r w:rsidRPr="00736486">
        <w:t xml:space="preserve">and increased the sector’s employment level </w:t>
      </w:r>
      <w:r w:rsidR="00AA5D72">
        <w:t>by</w:t>
      </w:r>
      <w:r w:rsidR="00AA5D72" w:rsidRPr="00736486">
        <w:t xml:space="preserve"> </w:t>
      </w:r>
      <w:r w:rsidRPr="00736486">
        <w:t xml:space="preserve">average by around </w:t>
      </w:r>
      <w:r w:rsidR="00506BFB">
        <w:t>11,000</w:t>
      </w:r>
      <w:r w:rsidRPr="00736486">
        <w:t xml:space="preserve">. Looking at longer term year-on-year trends, the trend line of the data under the </w:t>
      </w:r>
      <w:r w:rsidR="00DC2083">
        <w:t>new</w:t>
      </w:r>
      <w:r w:rsidRPr="00736486">
        <w:t xml:space="preserve"> broader sector definition runs parallel to the trend of the </w:t>
      </w:r>
      <w:r w:rsidR="00DC2083">
        <w:t>previous</w:t>
      </w:r>
      <w:r w:rsidRPr="00736486">
        <w:t xml:space="preserve"> time series. </w:t>
      </w:r>
    </w:p>
    <w:p w14:paraId="7D0A781A" w14:textId="41A69AA8" w:rsidR="008B462A" w:rsidRPr="00736486" w:rsidRDefault="008B462A" w:rsidP="00E13B12">
      <w:pPr>
        <w:rPr>
          <w:rFonts w:cs="Arial"/>
        </w:rPr>
      </w:pPr>
    </w:p>
    <w:p w14:paraId="2F880888" w14:textId="4825E1D8" w:rsidR="008B462A" w:rsidRDefault="004439D5" w:rsidP="007D3C36">
      <w:pPr>
        <w:pStyle w:val="Heading2"/>
      </w:pPr>
      <w:bookmarkStart w:id="29" w:name="_Toc131021896"/>
      <w:r w:rsidRPr="00736486">
        <w:t>Chang</w:t>
      </w:r>
      <w:r w:rsidR="00D111FA">
        <w:t>ing</w:t>
      </w:r>
      <w:r w:rsidRPr="00736486">
        <w:t xml:space="preserve"> </w:t>
      </w:r>
      <w:r w:rsidR="005A3E20" w:rsidRPr="00736486">
        <w:t xml:space="preserve">the </w:t>
      </w:r>
      <w:r w:rsidRPr="00736486">
        <w:t xml:space="preserve">data source for the </w:t>
      </w:r>
      <w:r w:rsidR="007D3C36">
        <w:t xml:space="preserve">cultural workforce </w:t>
      </w:r>
      <w:r w:rsidRPr="00736486">
        <w:t>indicator</w:t>
      </w:r>
      <w:bookmarkEnd w:id="29"/>
    </w:p>
    <w:p w14:paraId="01AB708D" w14:textId="29098753" w:rsidR="007D3C36" w:rsidRDefault="007D3C36" w:rsidP="007D3C36"/>
    <w:p w14:paraId="6D99342C" w14:textId="103856C3" w:rsidR="007D3C36" w:rsidRPr="007029A5" w:rsidRDefault="004D57E1" w:rsidP="007D3C36">
      <w:pPr>
        <w:rPr>
          <w:b/>
          <w:bCs/>
        </w:rPr>
      </w:pPr>
      <w:r w:rsidRPr="007029A5">
        <w:rPr>
          <w:b/>
          <w:bCs/>
        </w:rPr>
        <w:t xml:space="preserve">Change </w:t>
      </w:r>
      <w:r w:rsidR="00D111FA" w:rsidRPr="007029A5">
        <w:rPr>
          <w:b/>
          <w:bCs/>
        </w:rPr>
        <w:t>made</w:t>
      </w:r>
    </w:p>
    <w:p w14:paraId="6F498EB2" w14:textId="597CA2E7" w:rsidR="008B462A" w:rsidRPr="004731BC" w:rsidRDefault="008B462A" w:rsidP="00B33419">
      <w:pPr>
        <w:pStyle w:val="Heading1"/>
        <w:numPr>
          <w:ilvl w:val="0"/>
          <w:numId w:val="0"/>
        </w:numPr>
        <w:tabs>
          <w:tab w:val="left" w:pos="720"/>
          <w:tab w:val="left" w:pos="1440"/>
          <w:tab w:val="left" w:pos="2160"/>
          <w:tab w:val="left" w:pos="2880"/>
          <w:tab w:val="left" w:pos="4680"/>
          <w:tab w:val="left" w:pos="5400"/>
          <w:tab w:val="right" w:pos="9000"/>
        </w:tabs>
        <w:spacing w:line="240" w:lineRule="atLeast"/>
        <w:jc w:val="both"/>
        <w:rPr>
          <w:rFonts w:cs="Arial"/>
          <w:b w:val="0"/>
          <w:kern w:val="0"/>
        </w:rPr>
      </w:pPr>
    </w:p>
    <w:p w14:paraId="4F887D16" w14:textId="67BE509C" w:rsidR="00EC162C" w:rsidRPr="00736486" w:rsidRDefault="008B462A" w:rsidP="00885CE8">
      <w:r w:rsidRPr="00736486">
        <w:rPr>
          <w:bCs/>
        </w:rPr>
        <w:t>The ‘</w:t>
      </w:r>
      <w:r w:rsidR="0056627D">
        <w:t>P</w:t>
      </w:r>
      <w:r w:rsidR="0056627D" w:rsidRPr="00736486">
        <w:t>eople working in arts, culture and creative industries’</w:t>
      </w:r>
      <w:r w:rsidR="0056627D">
        <w:t xml:space="preserve"> </w:t>
      </w:r>
      <w:r w:rsidRPr="00736486">
        <w:rPr>
          <w:bCs/>
        </w:rPr>
        <w:t xml:space="preserve">indicator </w:t>
      </w:r>
      <w:r w:rsidR="005F3AC9">
        <w:rPr>
          <w:bCs/>
        </w:rPr>
        <w:t>was previously</w:t>
      </w:r>
      <w:r w:rsidRPr="00736486">
        <w:rPr>
          <w:bCs/>
        </w:rPr>
        <w:t xml:space="preserve"> measured using the </w:t>
      </w:r>
      <w:r w:rsidR="005979EB">
        <w:rPr>
          <w:bCs/>
        </w:rPr>
        <w:t xml:space="preserve">ONS </w:t>
      </w:r>
      <w:r w:rsidRPr="00736486">
        <w:t>Business Register and Employment Survey</w:t>
      </w:r>
      <w:r w:rsidRPr="00736486">
        <w:rPr>
          <w:bCs/>
        </w:rPr>
        <w:t xml:space="preserve"> (BRES). </w:t>
      </w:r>
      <w:r w:rsidRPr="00736486">
        <w:t>BRES was</w:t>
      </w:r>
      <w:r w:rsidR="005A3E20" w:rsidRPr="00736486">
        <w:t xml:space="preserve"> c</w:t>
      </w:r>
      <w:r w:rsidRPr="00736486">
        <w:t>hosen initially as it is the official source of employee jobs by industry. However, BRES</w:t>
      </w:r>
      <w:r w:rsidR="00510E8B">
        <w:t xml:space="preserve"> only captures employment from businesses that are registered for VAT (taxable </w:t>
      </w:r>
      <w:r w:rsidR="00510E8B">
        <w:lastRenderedPageBreak/>
        <w:t>turnover of £85,000 or more). It</w:t>
      </w:r>
      <w:r w:rsidRPr="00736486">
        <w:t xml:space="preserve"> does not provide coverage of </w:t>
      </w:r>
      <w:r w:rsidR="00D34774" w:rsidRPr="00736486">
        <w:t xml:space="preserve">businesses and </w:t>
      </w:r>
      <w:r w:rsidRPr="00736486">
        <w:t>self-employed workers operating under the VAT threshold</w:t>
      </w:r>
      <w:r w:rsidR="005A3E20" w:rsidRPr="00736486">
        <w:t>,</w:t>
      </w:r>
      <w:r w:rsidRPr="00736486">
        <w:t xml:space="preserve"> </w:t>
      </w:r>
      <w:r w:rsidR="005A3E20" w:rsidRPr="00736486">
        <w:t xml:space="preserve">which are of particular significance to creative and cultural employment, given that many work freelance or in small businesses. BRES is also </w:t>
      </w:r>
      <w:r w:rsidRPr="00736486">
        <w:t xml:space="preserve">unable to provide equality </w:t>
      </w:r>
      <w:proofErr w:type="spellStart"/>
      <w:r w:rsidRPr="00736486">
        <w:t>disaggregations</w:t>
      </w:r>
      <w:proofErr w:type="spellEnd"/>
      <w:r w:rsidRPr="00736486">
        <w:t xml:space="preserve"> of the workforce. </w:t>
      </w:r>
    </w:p>
    <w:p w14:paraId="550C5C60" w14:textId="77777777" w:rsidR="00EC162C" w:rsidRPr="00736486" w:rsidRDefault="00EC162C" w:rsidP="00885CE8"/>
    <w:p w14:paraId="60EFDCBA" w14:textId="13534221" w:rsidR="009E7399" w:rsidRPr="008C282E" w:rsidRDefault="005F3AC9" w:rsidP="009E7399">
      <w:pPr>
        <w:rPr>
          <w:rFonts w:cs="Arial"/>
          <w:bCs/>
          <w:szCs w:val="24"/>
        </w:rPr>
      </w:pPr>
      <w:r>
        <w:t>Therefore,</w:t>
      </w:r>
      <w:r w:rsidR="005A3E20" w:rsidRPr="00736486">
        <w:t xml:space="preserve"> the data source for this indicator </w:t>
      </w:r>
      <w:r>
        <w:t>wa</w:t>
      </w:r>
      <w:r w:rsidR="005A3E20" w:rsidRPr="00736486">
        <w:t>s</w:t>
      </w:r>
      <w:r w:rsidR="00EC162C" w:rsidRPr="00736486">
        <w:t xml:space="preserve"> change</w:t>
      </w:r>
      <w:r w:rsidR="005A3E20" w:rsidRPr="00736486">
        <w:t>d</w:t>
      </w:r>
      <w:r w:rsidR="00EC162C" w:rsidRPr="00736486">
        <w:t xml:space="preserve"> to </w:t>
      </w:r>
      <w:r w:rsidR="008B462A" w:rsidRPr="00736486">
        <w:t xml:space="preserve">the </w:t>
      </w:r>
      <w:r w:rsidR="005979EB">
        <w:t xml:space="preserve">ONS </w:t>
      </w:r>
      <w:r w:rsidR="008B462A" w:rsidRPr="00736486">
        <w:t>Annual Population Survey (APS)</w:t>
      </w:r>
      <w:r w:rsidR="00EC162C" w:rsidRPr="00736486">
        <w:t xml:space="preserve">. </w:t>
      </w:r>
      <w:r w:rsidR="009E7399" w:rsidRPr="002B0DCD">
        <w:rPr>
          <w:rFonts w:cs="Arial"/>
          <w:szCs w:val="24"/>
        </w:rPr>
        <w:t xml:space="preserve">The </w:t>
      </w:r>
      <w:r w:rsidR="00003195" w:rsidRPr="00003195">
        <w:rPr>
          <w:rFonts w:cs="Arial"/>
          <w:szCs w:val="24"/>
        </w:rPr>
        <w:t xml:space="preserve">APS is the largest annual household survey in </w:t>
      </w:r>
      <w:r w:rsidR="003979F6">
        <w:rPr>
          <w:rFonts w:cs="Arial"/>
          <w:szCs w:val="24"/>
        </w:rPr>
        <w:t>the UK</w:t>
      </w:r>
      <w:r w:rsidR="00003195" w:rsidRPr="00003195">
        <w:rPr>
          <w:rFonts w:cs="Arial"/>
          <w:szCs w:val="24"/>
        </w:rPr>
        <w:t xml:space="preserve"> and provides information about individuals' personal circumstances and their work. It is carried out by the Office for National Statistics.</w:t>
      </w:r>
      <w:r w:rsidR="009E7399">
        <w:rPr>
          <w:rFonts w:cs="Arial"/>
          <w:szCs w:val="24"/>
        </w:rPr>
        <w:t xml:space="preserve"> </w:t>
      </w:r>
      <w:r w:rsidR="005979EB" w:rsidRPr="007D2718">
        <w:rPr>
          <w:rFonts w:cs="Arial"/>
          <w:bCs/>
          <w:szCs w:val="24"/>
        </w:rPr>
        <w:t xml:space="preserve">The measure is based on the </w:t>
      </w:r>
      <w:r w:rsidR="005979EB">
        <w:rPr>
          <w:rFonts w:cs="Arial"/>
          <w:bCs/>
          <w:szCs w:val="24"/>
        </w:rPr>
        <w:t xml:space="preserve">estimated </w:t>
      </w:r>
      <w:r w:rsidR="005979EB" w:rsidRPr="007D2718">
        <w:rPr>
          <w:rFonts w:cs="Arial"/>
          <w:bCs/>
          <w:szCs w:val="24"/>
        </w:rPr>
        <w:t xml:space="preserve">number of people in employment aged 16 and over </w:t>
      </w:r>
      <w:r w:rsidR="005979EB">
        <w:rPr>
          <w:rFonts w:cs="Arial"/>
          <w:bCs/>
          <w:szCs w:val="24"/>
        </w:rPr>
        <w:t>in</w:t>
      </w:r>
      <w:r w:rsidR="005979EB" w:rsidRPr="007D2718">
        <w:rPr>
          <w:rFonts w:cs="Arial"/>
          <w:bCs/>
          <w:szCs w:val="24"/>
        </w:rPr>
        <w:t xml:space="preserve"> the arts, culture and creative sector.</w:t>
      </w:r>
      <w:r w:rsidR="005979EB">
        <w:rPr>
          <w:rFonts w:cs="Arial"/>
          <w:bCs/>
          <w:szCs w:val="24"/>
        </w:rPr>
        <w:t xml:space="preserve"> Industry sector of employment is self-reported by respondents participating in the ONS Annual Population Survey and is based on the industry sector of their main job</w:t>
      </w:r>
      <w:r w:rsidR="009E7399">
        <w:rPr>
          <w:rFonts w:cs="Arial"/>
          <w:color w:val="000000"/>
          <w:shd w:val="clear" w:color="auto" w:fill="FFFFFF"/>
        </w:rPr>
        <w:t>.</w:t>
      </w:r>
      <w:r w:rsidR="009E7399" w:rsidRPr="002B0DCD">
        <w:rPr>
          <w:rFonts w:cs="Arial"/>
          <w:color w:val="000000"/>
        </w:rPr>
        <w:t> </w:t>
      </w:r>
      <w:r w:rsidR="009E7399">
        <w:rPr>
          <w:rFonts w:cs="Arial"/>
          <w:color w:val="000000"/>
          <w:shd w:val="clear" w:color="auto" w:fill="FFFFFF"/>
        </w:rPr>
        <w:t xml:space="preserve">It covers </w:t>
      </w:r>
      <w:r w:rsidR="00003195">
        <w:rPr>
          <w:rFonts w:cs="Arial"/>
          <w:color w:val="000000"/>
          <w:shd w:val="clear" w:color="auto" w:fill="FFFFFF"/>
        </w:rPr>
        <w:t xml:space="preserve">people </w:t>
      </w:r>
      <w:r w:rsidR="00003195" w:rsidRPr="007D2718">
        <w:rPr>
          <w:rFonts w:cs="Arial"/>
          <w:color w:val="000000"/>
        </w:rPr>
        <w:t xml:space="preserve">who did at least one hour of paid work or had a job they were temporarily away from. </w:t>
      </w:r>
      <w:r w:rsidR="005D733A">
        <w:rPr>
          <w:rFonts w:cs="Arial"/>
          <w:color w:val="000000"/>
        </w:rPr>
        <w:t>It can provide estimates of p</w:t>
      </w:r>
      <w:r w:rsidR="00003195" w:rsidRPr="007D2718">
        <w:rPr>
          <w:rFonts w:cs="Arial"/>
          <w:color w:val="000000"/>
        </w:rPr>
        <w:t xml:space="preserve">eople who </w:t>
      </w:r>
      <w:r w:rsidR="005D733A">
        <w:rPr>
          <w:rFonts w:cs="Arial"/>
          <w:color w:val="000000"/>
        </w:rPr>
        <w:t xml:space="preserve">are employees, self-employed, </w:t>
      </w:r>
      <w:r w:rsidR="00003195" w:rsidRPr="007D2718">
        <w:rPr>
          <w:rFonts w:cs="Arial"/>
          <w:color w:val="000000"/>
        </w:rPr>
        <w:t>do unpaid work in a family business and people on Government-supported training and employment programs. This is in accordance with the International Labour Organisation (ILO) definition</w:t>
      </w:r>
      <w:r w:rsidR="00A33D71">
        <w:rPr>
          <w:rFonts w:cs="Arial"/>
          <w:color w:val="000000"/>
          <w:shd w:val="clear" w:color="auto" w:fill="FFFFFF"/>
        </w:rPr>
        <w:t>.</w:t>
      </w:r>
    </w:p>
    <w:p w14:paraId="3666CE56" w14:textId="2106934F" w:rsidR="00A33D71" w:rsidRDefault="00A33D71" w:rsidP="009E7399">
      <w:pPr>
        <w:rPr>
          <w:rFonts w:cs="Arial"/>
          <w:color w:val="000000"/>
          <w:shd w:val="clear" w:color="auto" w:fill="FFFFFF"/>
        </w:rPr>
      </w:pPr>
    </w:p>
    <w:p w14:paraId="144DFDEA" w14:textId="4D9576D6" w:rsidR="00A33D71" w:rsidRPr="004731BC" w:rsidRDefault="00A33D71" w:rsidP="009E7399">
      <w:pPr>
        <w:rPr>
          <w:rFonts w:cs="Arial"/>
          <w:szCs w:val="24"/>
          <w:u w:val="single"/>
        </w:rPr>
      </w:pPr>
      <w:r w:rsidRPr="007029A5">
        <w:rPr>
          <w:b/>
          <w:bCs/>
        </w:rPr>
        <w:t xml:space="preserve">Benefits and limitations </w:t>
      </w:r>
    </w:p>
    <w:p w14:paraId="2DF508DD" w14:textId="77777777" w:rsidR="009E7399" w:rsidRDefault="009E7399" w:rsidP="00885CE8"/>
    <w:p w14:paraId="4B75F9A3" w14:textId="0E3BB9DB" w:rsidR="00DC2083" w:rsidRDefault="00EC162C" w:rsidP="00885CE8">
      <w:r w:rsidRPr="00736486">
        <w:t>Th</w:t>
      </w:r>
      <w:r w:rsidR="009E7399">
        <w:t xml:space="preserve">e </w:t>
      </w:r>
      <w:r w:rsidR="00DC2083">
        <w:t xml:space="preserve">main </w:t>
      </w:r>
      <w:r w:rsidR="009E7399">
        <w:t>benefit of using the APS</w:t>
      </w:r>
      <w:r w:rsidR="008B462A" w:rsidRPr="00736486">
        <w:t xml:space="preserve"> is that </w:t>
      </w:r>
      <w:r w:rsidR="009E7399">
        <w:t xml:space="preserve">it </w:t>
      </w:r>
      <w:r w:rsidR="008B462A" w:rsidRPr="00736486">
        <w:t xml:space="preserve">has greater potential to capture </w:t>
      </w:r>
      <w:r w:rsidR="00DC2083">
        <w:t xml:space="preserve">the various forms of employment that shape the diverse culture and creative sector ecosystem such as </w:t>
      </w:r>
      <w:r w:rsidR="005A3E20" w:rsidRPr="00736486">
        <w:t>the self-employed</w:t>
      </w:r>
      <w:r w:rsidR="00DC2083">
        <w:t xml:space="preserve">, freelancers, sole traders and those working in smaller sized businesses. </w:t>
      </w:r>
      <w:r w:rsidR="005A3E20" w:rsidRPr="00736486">
        <w:t xml:space="preserve">While </w:t>
      </w:r>
      <w:r w:rsidR="00874815" w:rsidRPr="00736486">
        <w:t xml:space="preserve">BRES is likely to offer a more accurate estimate of those working in </w:t>
      </w:r>
      <w:r w:rsidR="00295D3D" w:rsidRPr="00736486">
        <w:t xml:space="preserve">registered </w:t>
      </w:r>
      <w:r w:rsidR="00874815" w:rsidRPr="00736486">
        <w:t>businesses within the cultural sector</w:t>
      </w:r>
      <w:r w:rsidR="005A3E20" w:rsidRPr="00736486">
        <w:t xml:space="preserve">, </w:t>
      </w:r>
      <w:r w:rsidR="00874815" w:rsidRPr="00736486">
        <w:t xml:space="preserve">it cannot offer the same breadth of data </w:t>
      </w:r>
      <w:r w:rsidR="005A3E20" w:rsidRPr="00736486">
        <w:t xml:space="preserve">as </w:t>
      </w:r>
      <w:r w:rsidR="00874815" w:rsidRPr="00736486">
        <w:t>the APS</w:t>
      </w:r>
      <w:r w:rsidR="00DC2083">
        <w:t xml:space="preserve"> which also has the capacity to </w:t>
      </w:r>
      <w:r w:rsidR="00DC2083" w:rsidRPr="00736486">
        <w:t>provide equalities breakdowns</w:t>
      </w:r>
      <w:r w:rsidR="00DC2083">
        <w:t xml:space="preserve"> of the workforce</w:t>
      </w:r>
      <w:r w:rsidR="00DC2083" w:rsidRPr="00736486">
        <w:t>.</w:t>
      </w:r>
      <w:r w:rsidR="00DC2083">
        <w:rPr>
          <w:rStyle w:val="FootnoteReference"/>
        </w:rPr>
        <w:footnoteReference w:id="3"/>
      </w:r>
      <w:r w:rsidR="00874815" w:rsidRPr="00736486">
        <w:t xml:space="preserve"> </w:t>
      </w:r>
      <w:r w:rsidR="00DC2083">
        <w:t>Given these advantages, stakeholder groups were in favour of this change.</w:t>
      </w:r>
    </w:p>
    <w:p w14:paraId="1E88230C" w14:textId="77777777" w:rsidR="00DC2083" w:rsidRDefault="00DC2083" w:rsidP="00885CE8"/>
    <w:p w14:paraId="29B64210" w14:textId="756C3D9D" w:rsidR="005A3E20" w:rsidRDefault="00510E8B" w:rsidP="00885CE8">
      <w:r>
        <w:t xml:space="preserve">However, disaggregation </w:t>
      </w:r>
      <w:r w:rsidR="00C13A38">
        <w:t xml:space="preserve">capability is dependent on sample size, which </w:t>
      </w:r>
      <w:r w:rsidR="00DC2083">
        <w:t>tend to</w:t>
      </w:r>
      <w:r w:rsidR="00C13A38">
        <w:t xml:space="preserve"> be smaller for the APS and can result in less precise results compared to BRES. </w:t>
      </w:r>
      <w:r w:rsidR="00A33D71">
        <w:t>In addition, i</w:t>
      </w:r>
      <w:r w:rsidR="00A33D71" w:rsidRPr="00A33D71">
        <w:t xml:space="preserve">ndustry sector is self-reported </w:t>
      </w:r>
      <w:r w:rsidR="00A33D71">
        <w:t xml:space="preserve">by households and individuals </w:t>
      </w:r>
      <w:r w:rsidR="00A33D71" w:rsidRPr="00A33D71">
        <w:t xml:space="preserve">on the </w:t>
      </w:r>
      <w:r w:rsidR="00DF582F">
        <w:t>APS</w:t>
      </w:r>
      <w:r w:rsidR="00A33D71" w:rsidRPr="00A33D71">
        <w:t xml:space="preserve"> and could be subject to </w:t>
      </w:r>
      <w:r w:rsidR="00A33D71">
        <w:t>more</w:t>
      </w:r>
      <w:r w:rsidR="00A33D71" w:rsidRPr="00A33D71">
        <w:t xml:space="preserve"> inaccuracy</w:t>
      </w:r>
      <w:r w:rsidR="00A33D71">
        <w:t xml:space="preserve"> compared to an industry based survey like BRES</w:t>
      </w:r>
      <w:r w:rsidR="00A33D71" w:rsidRPr="00A33D71">
        <w:t>.</w:t>
      </w:r>
      <w:r w:rsidR="00A33D71">
        <w:t xml:space="preserve"> </w:t>
      </w:r>
      <w:r w:rsidR="007B524A">
        <w:t xml:space="preserve">Also, the APS only covers people who did at least one hour of paid work so is unlikely to capture volunteers, which in some sub-sectors make up a large portion of the workforce, particularly within the heritage sector. </w:t>
      </w:r>
    </w:p>
    <w:p w14:paraId="79351959" w14:textId="051A63F8" w:rsidR="00A33D71" w:rsidRDefault="00A33D71" w:rsidP="00885CE8"/>
    <w:p w14:paraId="6079E5A7" w14:textId="33418E51" w:rsidR="00A33D71" w:rsidRPr="004731BC" w:rsidRDefault="00A33D71" w:rsidP="00885CE8">
      <w:pPr>
        <w:rPr>
          <w:u w:val="single"/>
        </w:rPr>
      </w:pPr>
      <w:r w:rsidRPr="007029A5">
        <w:rPr>
          <w:b/>
          <w:bCs/>
        </w:rPr>
        <w:t xml:space="preserve">Impact </w:t>
      </w:r>
    </w:p>
    <w:p w14:paraId="32B331D1" w14:textId="1F8ADFAB" w:rsidR="009E7399" w:rsidRPr="004731BC" w:rsidRDefault="009E7399" w:rsidP="00885CE8"/>
    <w:p w14:paraId="0AFA2D80" w14:textId="620E5A39" w:rsidR="00A33D71" w:rsidRPr="00736486" w:rsidRDefault="00A33D71" w:rsidP="00A33D71">
      <w:r w:rsidRPr="00736486">
        <w:t>The impact of using the APS instead of BRES to measure the workforce substantially increased the estimate of the employment in the sector. Since 2015, the APS estimates a greater employment level of 50,000 on average, around a 55% increase. This</w:t>
      </w:r>
      <w:r w:rsidR="00D3369B">
        <w:t xml:space="preserve"> increase</w:t>
      </w:r>
      <w:r w:rsidRPr="00736486">
        <w:t xml:space="preserve"> is broadly in line with the estimated number of ‘self-employed or other’ in the sector, however the data sources are not directly comparable. </w:t>
      </w:r>
    </w:p>
    <w:p w14:paraId="3AB04D1C" w14:textId="77777777" w:rsidR="00A33D71" w:rsidRPr="00736486" w:rsidRDefault="00A33D71" w:rsidP="00A33D71">
      <w:pPr>
        <w:rPr>
          <w:rFonts w:cs="Arial"/>
        </w:rPr>
      </w:pPr>
    </w:p>
    <w:p w14:paraId="188AFB33" w14:textId="661BD93D" w:rsidR="00A33D71" w:rsidRPr="00736486" w:rsidRDefault="00A33D71" w:rsidP="00A33D71">
      <w:r w:rsidRPr="00736486">
        <w:t>Over the longer-term, there is divergence in the direction and magnitude of year-on-year changes in the size of the estimated workforce across the two data sources. For example, in 2021, the size of the workforce estimated by BRES decreased by 6,000 (-</w:t>
      </w:r>
      <w:r w:rsidRPr="00736486">
        <w:lastRenderedPageBreak/>
        <w:t xml:space="preserve">6%,) but using the APS, it grew by 24,000 (17%). Further details on the difference between the estimates from each data source is provided in Table </w:t>
      </w:r>
      <w:r>
        <w:t>2</w:t>
      </w:r>
      <w:r w:rsidRPr="00736486">
        <w:t xml:space="preserve"> below</w:t>
      </w:r>
      <w:r w:rsidR="00DF582F">
        <w:t>.</w:t>
      </w:r>
    </w:p>
    <w:p w14:paraId="0696B2E9" w14:textId="77777777" w:rsidR="00DF582F" w:rsidRPr="00736486" w:rsidRDefault="00DF582F" w:rsidP="00A33D71">
      <w:pPr>
        <w:rPr>
          <w:rFonts w:cs="Arial"/>
        </w:rPr>
      </w:pPr>
    </w:p>
    <w:p w14:paraId="1BE3838E" w14:textId="43C13C1D" w:rsidR="00A33D71" w:rsidRPr="00736486" w:rsidRDefault="00A33D71" w:rsidP="00A33D71">
      <w:pPr>
        <w:rPr>
          <w:rFonts w:cs="Arial"/>
          <w:b/>
          <w:bCs/>
        </w:rPr>
      </w:pPr>
      <w:r w:rsidRPr="00736486">
        <w:rPr>
          <w:rFonts w:cs="Arial"/>
          <w:b/>
          <w:bCs/>
        </w:rPr>
        <w:t xml:space="preserve">Table </w:t>
      </w:r>
      <w:r>
        <w:rPr>
          <w:rFonts w:cs="Arial"/>
          <w:b/>
          <w:bCs/>
        </w:rPr>
        <w:t>2</w:t>
      </w:r>
      <w:r w:rsidRPr="00736486">
        <w:rPr>
          <w:rFonts w:cs="Arial"/>
          <w:b/>
          <w:bCs/>
        </w:rPr>
        <w:t xml:space="preserve">: Estimates for the size of the cultural and creative workforce from both BRES and APS, based on the expanded </w:t>
      </w:r>
      <w:r w:rsidR="00B603E1">
        <w:rPr>
          <w:rFonts w:cs="Arial"/>
          <w:b/>
          <w:bCs/>
        </w:rPr>
        <w:t xml:space="preserve">sector </w:t>
      </w:r>
      <w:r w:rsidRPr="00736486">
        <w:rPr>
          <w:rFonts w:cs="Arial"/>
          <w:b/>
          <w:bCs/>
        </w:rPr>
        <w:t>definition, 2009 - 202</w:t>
      </w:r>
      <w:r w:rsidR="00B603E1">
        <w:rPr>
          <w:rFonts w:cs="Arial"/>
          <w:b/>
          <w:bCs/>
        </w:rPr>
        <w:t>2</w:t>
      </w:r>
    </w:p>
    <w:tbl>
      <w:tblPr>
        <w:tblW w:w="8784" w:type="dxa"/>
        <w:tblLook w:val="04A0" w:firstRow="1" w:lastRow="0" w:firstColumn="1" w:lastColumn="0" w:noHBand="0" w:noVBand="1"/>
      </w:tblPr>
      <w:tblGrid>
        <w:gridCol w:w="960"/>
        <w:gridCol w:w="2267"/>
        <w:gridCol w:w="2297"/>
        <w:gridCol w:w="1559"/>
        <w:gridCol w:w="1701"/>
      </w:tblGrid>
      <w:tr w:rsidR="00A33D71" w:rsidRPr="00736486" w14:paraId="65CDEC8B" w14:textId="77777777" w:rsidTr="00B603E1">
        <w:trPr>
          <w:trHeight w:val="699"/>
        </w:trPr>
        <w:tc>
          <w:tcPr>
            <w:tcW w:w="960" w:type="dxa"/>
            <w:tcBorders>
              <w:top w:val="single" w:sz="4" w:space="0" w:color="auto"/>
              <w:left w:val="single" w:sz="4" w:space="0" w:color="auto"/>
              <w:bottom w:val="single" w:sz="4" w:space="0" w:color="auto"/>
              <w:right w:val="nil"/>
            </w:tcBorders>
            <w:shd w:val="clear" w:color="auto" w:fill="auto"/>
            <w:vAlign w:val="bottom"/>
            <w:hideMark/>
          </w:tcPr>
          <w:p w14:paraId="023AA21A" w14:textId="77777777" w:rsidR="00A33D71" w:rsidRPr="00736486" w:rsidRDefault="00A33D71" w:rsidP="00AD5765">
            <w:pPr>
              <w:jc w:val="center"/>
              <w:rPr>
                <w:rFonts w:cs="Arial"/>
                <w:color w:val="000000"/>
                <w:szCs w:val="22"/>
                <w:lang w:eastAsia="en-GB"/>
              </w:rPr>
            </w:pPr>
            <w:r w:rsidRPr="00736486">
              <w:rPr>
                <w:rFonts w:cs="Arial"/>
                <w:color w:val="000000"/>
                <w:sz w:val="22"/>
                <w:szCs w:val="22"/>
                <w:lang w:eastAsia="en-GB"/>
              </w:rPr>
              <w:t> </w:t>
            </w:r>
          </w:p>
        </w:tc>
        <w:tc>
          <w:tcPr>
            <w:tcW w:w="2267" w:type="dxa"/>
            <w:tcBorders>
              <w:top w:val="single" w:sz="4" w:space="0" w:color="auto"/>
              <w:left w:val="single" w:sz="4" w:space="0" w:color="auto"/>
              <w:bottom w:val="single" w:sz="4" w:space="0" w:color="auto"/>
              <w:right w:val="nil"/>
            </w:tcBorders>
            <w:shd w:val="clear" w:color="auto" w:fill="auto"/>
            <w:vAlign w:val="center"/>
            <w:hideMark/>
          </w:tcPr>
          <w:p w14:paraId="1E6965D0" w14:textId="7B8FC8C4" w:rsidR="00A33D71" w:rsidRPr="00736486" w:rsidRDefault="00B603E1" w:rsidP="00AD5765">
            <w:pPr>
              <w:jc w:val="center"/>
              <w:rPr>
                <w:rFonts w:cs="Arial"/>
                <w:b/>
                <w:bCs/>
                <w:i/>
                <w:iCs/>
                <w:color w:val="000000"/>
                <w:szCs w:val="22"/>
                <w:lang w:eastAsia="en-GB"/>
              </w:rPr>
            </w:pPr>
            <w:r>
              <w:rPr>
                <w:rFonts w:cs="Arial"/>
                <w:b/>
                <w:bCs/>
                <w:i/>
                <w:iCs/>
                <w:color w:val="000000"/>
                <w:sz w:val="22"/>
                <w:szCs w:val="22"/>
                <w:lang w:eastAsia="en-GB"/>
              </w:rPr>
              <w:t>Previous</w:t>
            </w:r>
            <w:r w:rsidR="00A33D71" w:rsidRPr="00736486">
              <w:rPr>
                <w:rFonts w:cs="Arial"/>
                <w:b/>
                <w:bCs/>
                <w:i/>
                <w:iCs/>
                <w:color w:val="000000"/>
                <w:sz w:val="22"/>
                <w:szCs w:val="22"/>
                <w:lang w:eastAsia="en-GB"/>
              </w:rPr>
              <w:t xml:space="preserve"> measure: </w:t>
            </w:r>
          </w:p>
          <w:p w14:paraId="4C73900A" w14:textId="77777777" w:rsidR="00A33D71" w:rsidRPr="00736486" w:rsidRDefault="00A33D71" w:rsidP="00AD5765">
            <w:pPr>
              <w:jc w:val="center"/>
              <w:rPr>
                <w:rFonts w:cs="Arial"/>
                <w:b/>
                <w:bCs/>
                <w:color w:val="000000"/>
                <w:szCs w:val="22"/>
                <w:lang w:eastAsia="en-GB"/>
              </w:rPr>
            </w:pPr>
            <w:r w:rsidRPr="00736486">
              <w:rPr>
                <w:rFonts w:cs="Arial"/>
                <w:b/>
                <w:bCs/>
                <w:color w:val="000000"/>
                <w:sz w:val="22"/>
                <w:szCs w:val="22"/>
                <w:lang w:eastAsia="en-GB"/>
              </w:rPr>
              <w:t>Jobs (BRES)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9B850" w14:textId="370D4676" w:rsidR="00A33D71" w:rsidRPr="00736486" w:rsidRDefault="00B603E1" w:rsidP="00AD5765">
            <w:pPr>
              <w:jc w:val="center"/>
              <w:rPr>
                <w:rFonts w:cs="Arial"/>
                <w:b/>
                <w:bCs/>
                <w:i/>
                <w:iCs/>
                <w:color w:val="000000"/>
                <w:szCs w:val="22"/>
                <w:lang w:eastAsia="en-GB"/>
              </w:rPr>
            </w:pPr>
            <w:r>
              <w:rPr>
                <w:rFonts w:cs="Arial"/>
                <w:b/>
                <w:bCs/>
                <w:i/>
                <w:iCs/>
                <w:color w:val="000000"/>
                <w:sz w:val="22"/>
                <w:szCs w:val="22"/>
                <w:lang w:eastAsia="en-GB"/>
              </w:rPr>
              <w:t>New</w:t>
            </w:r>
            <w:r w:rsidR="00A33D71" w:rsidRPr="00736486">
              <w:rPr>
                <w:rFonts w:cs="Arial"/>
                <w:b/>
                <w:bCs/>
                <w:i/>
                <w:iCs/>
                <w:color w:val="000000"/>
                <w:sz w:val="22"/>
                <w:szCs w:val="22"/>
                <w:lang w:eastAsia="en-GB"/>
              </w:rPr>
              <w:t xml:space="preserve"> measure:</w:t>
            </w:r>
          </w:p>
          <w:p w14:paraId="5AD07F05" w14:textId="77777777" w:rsidR="00A33D71" w:rsidRPr="00736486" w:rsidRDefault="00A33D71" w:rsidP="00AD5765">
            <w:pPr>
              <w:jc w:val="center"/>
              <w:rPr>
                <w:rFonts w:cs="Arial"/>
                <w:b/>
                <w:bCs/>
                <w:color w:val="000000"/>
                <w:szCs w:val="22"/>
                <w:lang w:eastAsia="en-GB"/>
              </w:rPr>
            </w:pPr>
            <w:r w:rsidRPr="00736486">
              <w:rPr>
                <w:rFonts w:cs="Arial"/>
                <w:b/>
                <w:bCs/>
                <w:color w:val="000000"/>
                <w:sz w:val="22"/>
                <w:szCs w:val="22"/>
                <w:lang w:eastAsia="en-GB"/>
              </w:rPr>
              <w:t>Total Employment (APS)</w:t>
            </w:r>
          </w:p>
        </w:tc>
        <w:tc>
          <w:tcPr>
            <w:tcW w:w="1559" w:type="dxa"/>
            <w:tcBorders>
              <w:top w:val="single" w:sz="4" w:space="0" w:color="auto"/>
              <w:left w:val="nil"/>
              <w:bottom w:val="single" w:sz="4" w:space="0" w:color="auto"/>
              <w:right w:val="nil"/>
            </w:tcBorders>
            <w:shd w:val="clear" w:color="auto" w:fill="auto"/>
            <w:vAlign w:val="center"/>
            <w:hideMark/>
          </w:tcPr>
          <w:p w14:paraId="0BA5D83C" w14:textId="77777777" w:rsidR="00A33D71" w:rsidRPr="00736486" w:rsidRDefault="00A33D71" w:rsidP="00AD5765">
            <w:pPr>
              <w:jc w:val="center"/>
              <w:rPr>
                <w:rFonts w:cs="Arial"/>
                <w:b/>
                <w:bCs/>
                <w:color w:val="808080"/>
                <w:szCs w:val="22"/>
                <w:lang w:eastAsia="en-GB"/>
              </w:rPr>
            </w:pPr>
            <w:r w:rsidRPr="00736486">
              <w:rPr>
                <w:rFonts w:cs="Arial"/>
                <w:b/>
                <w:bCs/>
                <w:color w:val="808080"/>
                <w:sz w:val="22"/>
                <w:szCs w:val="22"/>
                <w:lang w:eastAsia="en-GB"/>
              </w:rPr>
              <w:t>Employees (APS)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51B1C" w14:textId="77777777" w:rsidR="00A33D71" w:rsidRPr="00736486" w:rsidRDefault="00A33D71" w:rsidP="00AD5765">
            <w:pPr>
              <w:jc w:val="center"/>
              <w:rPr>
                <w:rFonts w:cs="Arial"/>
                <w:b/>
                <w:bCs/>
                <w:color w:val="808080"/>
                <w:szCs w:val="22"/>
                <w:lang w:eastAsia="en-GB"/>
              </w:rPr>
            </w:pPr>
            <w:r w:rsidRPr="00736486">
              <w:rPr>
                <w:rFonts w:cs="Arial"/>
                <w:b/>
                <w:bCs/>
                <w:color w:val="808080"/>
                <w:sz w:val="22"/>
                <w:szCs w:val="22"/>
                <w:lang w:eastAsia="en-GB"/>
              </w:rPr>
              <w:t>Self-employed and other (APS)</w:t>
            </w:r>
          </w:p>
        </w:tc>
      </w:tr>
      <w:tr w:rsidR="00A33D71" w:rsidRPr="00736486" w14:paraId="583F3AE2"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27F87593"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2009</w:t>
            </w:r>
          </w:p>
        </w:tc>
        <w:tc>
          <w:tcPr>
            <w:tcW w:w="2267" w:type="dxa"/>
            <w:tcBorders>
              <w:top w:val="nil"/>
              <w:left w:val="single" w:sz="4" w:space="0" w:color="auto"/>
              <w:bottom w:val="nil"/>
              <w:right w:val="nil"/>
            </w:tcBorders>
            <w:shd w:val="clear" w:color="auto" w:fill="auto"/>
            <w:noWrap/>
            <w:vAlign w:val="center"/>
            <w:hideMark/>
          </w:tcPr>
          <w:p w14:paraId="01C36385"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85,000</w:t>
            </w:r>
          </w:p>
        </w:tc>
        <w:tc>
          <w:tcPr>
            <w:tcW w:w="2297" w:type="dxa"/>
            <w:tcBorders>
              <w:top w:val="nil"/>
              <w:left w:val="single" w:sz="4" w:space="0" w:color="auto"/>
              <w:bottom w:val="nil"/>
              <w:right w:val="single" w:sz="4" w:space="0" w:color="auto"/>
            </w:tcBorders>
            <w:shd w:val="clear" w:color="auto" w:fill="auto"/>
            <w:noWrap/>
            <w:vAlign w:val="center"/>
            <w:hideMark/>
          </w:tcPr>
          <w:p w14:paraId="3FCD93FF"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109,000</w:t>
            </w:r>
          </w:p>
        </w:tc>
        <w:tc>
          <w:tcPr>
            <w:tcW w:w="1559" w:type="dxa"/>
            <w:tcBorders>
              <w:top w:val="nil"/>
              <w:left w:val="nil"/>
              <w:bottom w:val="nil"/>
              <w:right w:val="single" w:sz="4" w:space="0" w:color="auto"/>
            </w:tcBorders>
            <w:shd w:val="clear" w:color="auto" w:fill="auto"/>
            <w:noWrap/>
            <w:vAlign w:val="center"/>
            <w:hideMark/>
          </w:tcPr>
          <w:p w14:paraId="4CB37DB2"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82,000</w:t>
            </w:r>
          </w:p>
        </w:tc>
        <w:tc>
          <w:tcPr>
            <w:tcW w:w="1701" w:type="dxa"/>
            <w:tcBorders>
              <w:top w:val="nil"/>
              <w:left w:val="single" w:sz="4" w:space="0" w:color="auto"/>
              <w:bottom w:val="nil"/>
              <w:right w:val="single" w:sz="4" w:space="0" w:color="auto"/>
            </w:tcBorders>
            <w:shd w:val="clear" w:color="auto" w:fill="auto"/>
            <w:noWrap/>
            <w:vAlign w:val="center"/>
            <w:hideMark/>
          </w:tcPr>
          <w:p w14:paraId="1CEA0143"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27,000</w:t>
            </w:r>
          </w:p>
        </w:tc>
      </w:tr>
      <w:tr w:rsidR="00A33D71" w:rsidRPr="00736486" w14:paraId="510CB8EA"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0CC2DE40"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2010</w:t>
            </w:r>
          </w:p>
        </w:tc>
        <w:tc>
          <w:tcPr>
            <w:tcW w:w="2267" w:type="dxa"/>
            <w:tcBorders>
              <w:top w:val="nil"/>
              <w:left w:val="single" w:sz="4" w:space="0" w:color="auto"/>
              <w:bottom w:val="nil"/>
              <w:right w:val="nil"/>
            </w:tcBorders>
            <w:shd w:val="clear" w:color="auto" w:fill="auto"/>
            <w:noWrap/>
            <w:vAlign w:val="center"/>
            <w:hideMark/>
          </w:tcPr>
          <w:p w14:paraId="2AD4F12D" w14:textId="77777777" w:rsidR="00A33D71" w:rsidRPr="00736486" w:rsidRDefault="00A33D71" w:rsidP="00AD5765">
            <w:pPr>
              <w:jc w:val="right"/>
              <w:rPr>
                <w:rFonts w:cs="Arial"/>
                <w:color w:val="000000"/>
                <w:szCs w:val="22"/>
                <w:lang w:eastAsia="en-GB"/>
              </w:rPr>
            </w:pPr>
            <w:r w:rsidRPr="00736486">
              <w:rPr>
                <w:rFonts w:cs="Arial"/>
                <w:color w:val="FF0000"/>
                <w:sz w:val="22"/>
                <w:szCs w:val="22"/>
              </w:rPr>
              <w:t>80,000</w:t>
            </w:r>
          </w:p>
        </w:tc>
        <w:tc>
          <w:tcPr>
            <w:tcW w:w="2297" w:type="dxa"/>
            <w:tcBorders>
              <w:top w:val="nil"/>
              <w:left w:val="single" w:sz="4" w:space="0" w:color="auto"/>
              <w:bottom w:val="nil"/>
              <w:right w:val="single" w:sz="4" w:space="0" w:color="auto"/>
            </w:tcBorders>
            <w:shd w:val="clear" w:color="auto" w:fill="auto"/>
            <w:noWrap/>
            <w:vAlign w:val="center"/>
            <w:hideMark/>
          </w:tcPr>
          <w:p w14:paraId="46352077"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111,000</w:t>
            </w:r>
          </w:p>
        </w:tc>
        <w:tc>
          <w:tcPr>
            <w:tcW w:w="1559" w:type="dxa"/>
            <w:tcBorders>
              <w:top w:val="nil"/>
              <w:left w:val="nil"/>
              <w:bottom w:val="nil"/>
              <w:right w:val="single" w:sz="4" w:space="0" w:color="auto"/>
            </w:tcBorders>
            <w:shd w:val="clear" w:color="auto" w:fill="auto"/>
            <w:noWrap/>
            <w:vAlign w:val="center"/>
            <w:hideMark/>
          </w:tcPr>
          <w:p w14:paraId="7F2B5C41"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83,000</w:t>
            </w:r>
          </w:p>
        </w:tc>
        <w:tc>
          <w:tcPr>
            <w:tcW w:w="1701" w:type="dxa"/>
            <w:tcBorders>
              <w:top w:val="nil"/>
              <w:left w:val="single" w:sz="4" w:space="0" w:color="auto"/>
              <w:bottom w:val="nil"/>
              <w:right w:val="single" w:sz="4" w:space="0" w:color="auto"/>
            </w:tcBorders>
            <w:shd w:val="clear" w:color="auto" w:fill="auto"/>
            <w:noWrap/>
            <w:vAlign w:val="center"/>
            <w:hideMark/>
          </w:tcPr>
          <w:p w14:paraId="3D7F2073"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28,000</w:t>
            </w:r>
          </w:p>
        </w:tc>
      </w:tr>
      <w:tr w:rsidR="00A33D71" w:rsidRPr="00736486" w14:paraId="57947BAC"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701EBA61"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2011</w:t>
            </w:r>
          </w:p>
        </w:tc>
        <w:tc>
          <w:tcPr>
            <w:tcW w:w="2267" w:type="dxa"/>
            <w:tcBorders>
              <w:top w:val="nil"/>
              <w:left w:val="single" w:sz="4" w:space="0" w:color="auto"/>
              <w:bottom w:val="nil"/>
              <w:right w:val="nil"/>
            </w:tcBorders>
            <w:shd w:val="clear" w:color="auto" w:fill="auto"/>
            <w:noWrap/>
            <w:vAlign w:val="center"/>
            <w:hideMark/>
          </w:tcPr>
          <w:p w14:paraId="65E0FF1E" w14:textId="77777777" w:rsidR="00A33D71" w:rsidRPr="00736486" w:rsidRDefault="00A33D71" w:rsidP="00AD5765">
            <w:pPr>
              <w:jc w:val="right"/>
              <w:rPr>
                <w:rFonts w:cs="Arial"/>
                <w:color w:val="000000"/>
                <w:szCs w:val="22"/>
                <w:lang w:eastAsia="en-GB"/>
              </w:rPr>
            </w:pPr>
            <w:r w:rsidRPr="00736486">
              <w:rPr>
                <w:rFonts w:cs="Arial"/>
                <w:color w:val="FF0000"/>
                <w:sz w:val="22"/>
                <w:szCs w:val="22"/>
              </w:rPr>
              <w:t>74,000</w:t>
            </w:r>
          </w:p>
        </w:tc>
        <w:tc>
          <w:tcPr>
            <w:tcW w:w="2297" w:type="dxa"/>
            <w:tcBorders>
              <w:top w:val="nil"/>
              <w:left w:val="single" w:sz="4" w:space="0" w:color="auto"/>
              <w:bottom w:val="nil"/>
              <w:right w:val="single" w:sz="4" w:space="0" w:color="auto"/>
            </w:tcBorders>
            <w:shd w:val="clear" w:color="auto" w:fill="auto"/>
            <w:noWrap/>
            <w:vAlign w:val="center"/>
            <w:hideMark/>
          </w:tcPr>
          <w:p w14:paraId="03A800B0"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114,000</w:t>
            </w:r>
          </w:p>
        </w:tc>
        <w:tc>
          <w:tcPr>
            <w:tcW w:w="1559" w:type="dxa"/>
            <w:tcBorders>
              <w:top w:val="nil"/>
              <w:left w:val="nil"/>
              <w:bottom w:val="nil"/>
              <w:right w:val="single" w:sz="4" w:space="0" w:color="auto"/>
            </w:tcBorders>
            <w:shd w:val="clear" w:color="auto" w:fill="auto"/>
            <w:noWrap/>
            <w:vAlign w:val="center"/>
            <w:hideMark/>
          </w:tcPr>
          <w:p w14:paraId="5F2F0ACB"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82,000</w:t>
            </w:r>
          </w:p>
        </w:tc>
        <w:tc>
          <w:tcPr>
            <w:tcW w:w="1701" w:type="dxa"/>
            <w:tcBorders>
              <w:top w:val="nil"/>
              <w:left w:val="single" w:sz="4" w:space="0" w:color="auto"/>
              <w:bottom w:val="nil"/>
              <w:right w:val="single" w:sz="4" w:space="0" w:color="auto"/>
            </w:tcBorders>
            <w:shd w:val="clear" w:color="auto" w:fill="auto"/>
            <w:noWrap/>
            <w:vAlign w:val="center"/>
            <w:hideMark/>
          </w:tcPr>
          <w:p w14:paraId="2ABE0A0E"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32,000</w:t>
            </w:r>
          </w:p>
        </w:tc>
      </w:tr>
      <w:tr w:rsidR="00A33D71" w:rsidRPr="00736486" w14:paraId="27262F6A"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76596559"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2012</w:t>
            </w:r>
          </w:p>
        </w:tc>
        <w:tc>
          <w:tcPr>
            <w:tcW w:w="2267" w:type="dxa"/>
            <w:tcBorders>
              <w:top w:val="nil"/>
              <w:left w:val="single" w:sz="4" w:space="0" w:color="auto"/>
              <w:bottom w:val="nil"/>
              <w:right w:val="nil"/>
            </w:tcBorders>
            <w:shd w:val="clear" w:color="auto" w:fill="auto"/>
            <w:noWrap/>
            <w:vAlign w:val="center"/>
            <w:hideMark/>
          </w:tcPr>
          <w:p w14:paraId="5E920ECD" w14:textId="77777777" w:rsidR="00A33D71" w:rsidRPr="00736486" w:rsidRDefault="00A33D71" w:rsidP="00AD5765">
            <w:pPr>
              <w:jc w:val="right"/>
              <w:rPr>
                <w:rFonts w:cs="Arial"/>
                <w:color w:val="00B050"/>
                <w:szCs w:val="22"/>
                <w:lang w:eastAsia="en-GB"/>
              </w:rPr>
            </w:pPr>
            <w:r w:rsidRPr="00736486">
              <w:rPr>
                <w:rFonts w:cs="Arial"/>
                <w:color w:val="00B050"/>
                <w:sz w:val="22"/>
                <w:szCs w:val="22"/>
              </w:rPr>
              <w:t>75,000</w:t>
            </w:r>
          </w:p>
        </w:tc>
        <w:tc>
          <w:tcPr>
            <w:tcW w:w="2297" w:type="dxa"/>
            <w:tcBorders>
              <w:top w:val="nil"/>
              <w:left w:val="single" w:sz="4" w:space="0" w:color="auto"/>
              <w:bottom w:val="nil"/>
              <w:right w:val="single" w:sz="4" w:space="0" w:color="auto"/>
            </w:tcBorders>
            <w:shd w:val="clear" w:color="auto" w:fill="auto"/>
            <w:noWrap/>
            <w:vAlign w:val="center"/>
            <w:hideMark/>
          </w:tcPr>
          <w:p w14:paraId="244EB7E6" w14:textId="77777777" w:rsidR="00A33D71" w:rsidRPr="00F8058A" w:rsidRDefault="00A33D71" w:rsidP="00AD5765">
            <w:pPr>
              <w:jc w:val="right"/>
              <w:rPr>
                <w:rFonts w:cs="Arial"/>
                <w:color w:val="00B050"/>
                <w:szCs w:val="22"/>
                <w:lang w:eastAsia="en-GB"/>
              </w:rPr>
            </w:pPr>
            <w:r w:rsidRPr="00F8058A">
              <w:rPr>
                <w:rFonts w:cs="Arial"/>
                <w:color w:val="00B050"/>
                <w:sz w:val="22"/>
                <w:szCs w:val="22"/>
              </w:rPr>
              <w:t>123,000</w:t>
            </w:r>
          </w:p>
        </w:tc>
        <w:tc>
          <w:tcPr>
            <w:tcW w:w="1559" w:type="dxa"/>
            <w:tcBorders>
              <w:top w:val="nil"/>
              <w:left w:val="nil"/>
              <w:bottom w:val="nil"/>
              <w:right w:val="single" w:sz="4" w:space="0" w:color="auto"/>
            </w:tcBorders>
            <w:shd w:val="clear" w:color="auto" w:fill="auto"/>
            <w:noWrap/>
            <w:vAlign w:val="center"/>
            <w:hideMark/>
          </w:tcPr>
          <w:p w14:paraId="7AF1BBD5"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87,000</w:t>
            </w:r>
          </w:p>
        </w:tc>
        <w:tc>
          <w:tcPr>
            <w:tcW w:w="1701" w:type="dxa"/>
            <w:tcBorders>
              <w:top w:val="nil"/>
              <w:left w:val="single" w:sz="4" w:space="0" w:color="auto"/>
              <w:bottom w:val="nil"/>
              <w:right w:val="single" w:sz="4" w:space="0" w:color="auto"/>
            </w:tcBorders>
            <w:shd w:val="clear" w:color="auto" w:fill="auto"/>
            <w:noWrap/>
            <w:vAlign w:val="center"/>
            <w:hideMark/>
          </w:tcPr>
          <w:p w14:paraId="26BFCCF2"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37,000</w:t>
            </w:r>
          </w:p>
        </w:tc>
      </w:tr>
      <w:tr w:rsidR="00A33D71" w:rsidRPr="00736486" w14:paraId="04DD36FC"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7EF5C4A1"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2013</w:t>
            </w:r>
          </w:p>
        </w:tc>
        <w:tc>
          <w:tcPr>
            <w:tcW w:w="2267" w:type="dxa"/>
            <w:tcBorders>
              <w:top w:val="nil"/>
              <w:left w:val="single" w:sz="4" w:space="0" w:color="auto"/>
              <w:bottom w:val="nil"/>
              <w:right w:val="nil"/>
            </w:tcBorders>
            <w:shd w:val="clear" w:color="auto" w:fill="auto"/>
            <w:noWrap/>
            <w:vAlign w:val="center"/>
            <w:hideMark/>
          </w:tcPr>
          <w:p w14:paraId="35854D80" w14:textId="77777777" w:rsidR="00A33D71" w:rsidRPr="00736486" w:rsidRDefault="00A33D71" w:rsidP="00AD5765">
            <w:pPr>
              <w:jc w:val="right"/>
              <w:rPr>
                <w:rFonts w:cs="Arial"/>
                <w:color w:val="00B050"/>
                <w:szCs w:val="22"/>
                <w:lang w:eastAsia="en-GB"/>
              </w:rPr>
            </w:pPr>
            <w:r w:rsidRPr="00736486">
              <w:rPr>
                <w:rFonts w:cs="Arial"/>
                <w:color w:val="00B050"/>
                <w:sz w:val="22"/>
                <w:szCs w:val="22"/>
              </w:rPr>
              <w:t>78,000</w:t>
            </w:r>
          </w:p>
        </w:tc>
        <w:tc>
          <w:tcPr>
            <w:tcW w:w="2297" w:type="dxa"/>
            <w:tcBorders>
              <w:top w:val="nil"/>
              <w:left w:val="single" w:sz="4" w:space="0" w:color="auto"/>
              <w:bottom w:val="nil"/>
              <w:right w:val="single" w:sz="4" w:space="0" w:color="auto"/>
            </w:tcBorders>
            <w:shd w:val="clear" w:color="auto" w:fill="auto"/>
            <w:noWrap/>
            <w:vAlign w:val="center"/>
            <w:hideMark/>
          </w:tcPr>
          <w:p w14:paraId="55FAE876"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114,000</w:t>
            </w:r>
          </w:p>
        </w:tc>
        <w:tc>
          <w:tcPr>
            <w:tcW w:w="1559" w:type="dxa"/>
            <w:tcBorders>
              <w:top w:val="nil"/>
              <w:left w:val="nil"/>
              <w:bottom w:val="nil"/>
              <w:right w:val="single" w:sz="4" w:space="0" w:color="auto"/>
            </w:tcBorders>
            <w:shd w:val="clear" w:color="auto" w:fill="auto"/>
            <w:noWrap/>
            <w:vAlign w:val="center"/>
            <w:hideMark/>
          </w:tcPr>
          <w:p w14:paraId="15B4E337"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79,000</w:t>
            </w:r>
          </w:p>
        </w:tc>
        <w:tc>
          <w:tcPr>
            <w:tcW w:w="1701" w:type="dxa"/>
            <w:tcBorders>
              <w:top w:val="nil"/>
              <w:left w:val="single" w:sz="4" w:space="0" w:color="auto"/>
              <w:bottom w:val="nil"/>
              <w:right w:val="single" w:sz="4" w:space="0" w:color="auto"/>
            </w:tcBorders>
            <w:shd w:val="clear" w:color="auto" w:fill="auto"/>
            <w:noWrap/>
            <w:vAlign w:val="center"/>
            <w:hideMark/>
          </w:tcPr>
          <w:p w14:paraId="577D817B"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36,000</w:t>
            </w:r>
          </w:p>
        </w:tc>
      </w:tr>
      <w:tr w:rsidR="00A33D71" w:rsidRPr="00736486" w14:paraId="20697652" w14:textId="77777777" w:rsidTr="00B603E1">
        <w:trPr>
          <w:trHeight w:val="315"/>
        </w:trPr>
        <w:tc>
          <w:tcPr>
            <w:tcW w:w="960" w:type="dxa"/>
            <w:tcBorders>
              <w:top w:val="nil"/>
              <w:left w:val="single" w:sz="4" w:space="0" w:color="auto"/>
              <w:bottom w:val="nil"/>
              <w:right w:val="nil"/>
            </w:tcBorders>
            <w:shd w:val="clear" w:color="auto" w:fill="auto"/>
            <w:noWrap/>
            <w:vAlign w:val="bottom"/>
            <w:hideMark/>
          </w:tcPr>
          <w:p w14:paraId="35931938"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2014</w:t>
            </w:r>
          </w:p>
        </w:tc>
        <w:tc>
          <w:tcPr>
            <w:tcW w:w="2267" w:type="dxa"/>
            <w:tcBorders>
              <w:top w:val="nil"/>
              <w:left w:val="single" w:sz="4" w:space="0" w:color="auto"/>
              <w:bottom w:val="dashed" w:sz="8" w:space="0" w:color="auto"/>
              <w:right w:val="nil"/>
            </w:tcBorders>
            <w:shd w:val="clear" w:color="auto" w:fill="auto"/>
            <w:noWrap/>
            <w:vAlign w:val="center"/>
            <w:hideMark/>
          </w:tcPr>
          <w:p w14:paraId="673B519B" w14:textId="77777777" w:rsidR="00A33D71" w:rsidRPr="00736486" w:rsidRDefault="00A33D71" w:rsidP="00AD5765">
            <w:pPr>
              <w:jc w:val="right"/>
              <w:rPr>
                <w:rFonts w:cs="Arial"/>
                <w:color w:val="00B050"/>
                <w:szCs w:val="22"/>
                <w:lang w:eastAsia="en-GB"/>
              </w:rPr>
            </w:pPr>
            <w:r w:rsidRPr="00736486">
              <w:rPr>
                <w:rFonts w:cs="Arial"/>
                <w:color w:val="00B050"/>
                <w:sz w:val="22"/>
                <w:szCs w:val="22"/>
              </w:rPr>
              <w:t>82,000</w:t>
            </w:r>
          </w:p>
        </w:tc>
        <w:tc>
          <w:tcPr>
            <w:tcW w:w="2297" w:type="dxa"/>
            <w:tcBorders>
              <w:top w:val="nil"/>
              <w:left w:val="single" w:sz="4" w:space="0" w:color="auto"/>
              <w:bottom w:val="nil"/>
              <w:right w:val="single" w:sz="4" w:space="0" w:color="auto"/>
            </w:tcBorders>
            <w:shd w:val="clear" w:color="auto" w:fill="auto"/>
            <w:noWrap/>
            <w:vAlign w:val="center"/>
            <w:hideMark/>
          </w:tcPr>
          <w:p w14:paraId="69B6A676"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117,000</w:t>
            </w:r>
          </w:p>
        </w:tc>
        <w:tc>
          <w:tcPr>
            <w:tcW w:w="1559" w:type="dxa"/>
            <w:tcBorders>
              <w:top w:val="nil"/>
              <w:left w:val="nil"/>
              <w:bottom w:val="nil"/>
              <w:right w:val="single" w:sz="4" w:space="0" w:color="auto"/>
            </w:tcBorders>
            <w:shd w:val="clear" w:color="auto" w:fill="auto"/>
            <w:noWrap/>
            <w:vAlign w:val="center"/>
            <w:hideMark/>
          </w:tcPr>
          <w:p w14:paraId="1F1CE013"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84,000</w:t>
            </w:r>
          </w:p>
        </w:tc>
        <w:tc>
          <w:tcPr>
            <w:tcW w:w="1701" w:type="dxa"/>
            <w:tcBorders>
              <w:top w:val="nil"/>
              <w:left w:val="single" w:sz="4" w:space="0" w:color="auto"/>
              <w:bottom w:val="nil"/>
              <w:right w:val="single" w:sz="4" w:space="0" w:color="auto"/>
            </w:tcBorders>
            <w:shd w:val="clear" w:color="auto" w:fill="auto"/>
            <w:noWrap/>
            <w:vAlign w:val="center"/>
            <w:hideMark/>
          </w:tcPr>
          <w:p w14:paraId="31CCFF43"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33,000</w:t>
            </w:r>
          </w:p>
        </w:tc>
      </w:tr>
      <w:tr w:rsidR="00A33D71" w:rsidRPr="00736486" w14:paraId="499FB8FC"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08ECFE7C"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2015</w:t>
            </w:r>
          </w:p>
        </w:tc>
        <w:tc>
          <w:tcPr>
            <w:tcW w:w="2267" w:type="dxa"/>
            <w:tcBorders>
              <w:top w:val="nil"/>
              <w:left w:val="single" w:sz="4" w:space="0" w:color="auto"/>
              <w:bottom w:val="nil"/>
              <w:right w:val="nil"/>
            </w:tcBorders>
            <w:shd w:val="clear" w:color="auto" w:fill="auto"/>
            <w:noWrap/>
            <w:vAlign w:val="center"/>
            <w:hideMark/>
          </w:tcPr>
          <w:p w14:paraId="06EB9498"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82,000</w:t>
            </w:r>
          </w:p>
        </w:tc>
        <w:tc>
          <w:tcPr>
            <w:tcW w:w="2297" w:type="dxa"/>
            <w:tcBorders>
              <w:top w:val="nil"/>
              <w:left w:val="single" w:sz="4" w:space="0" w:color="auto"/>
              <w:bottom w:val="nil"/>
              <w:right w:val="single" w:sz="4" w:space="0" w:color="auto"/>
            </w:tcBorders>
            <w:shd w:val="clear" w:color="auto" w:fill="auto"/>
            <w:noWrap/>
            <w:vAlign w:val="center"/>
            <w:hideMark/>
          </w:tcPr>
          <w:p w14:paraId="16B051E1" w14:textId="77777777" w:rsidR="00A33D71" w:rsidRPr="00736486" w:rsidRDefault="00A33D71" w:rsidP="00AD5765">
            <w:pPr>
              <w:jc w:val="right"/>
              <w:rPr>
                <w:rFonts w:cs="Arial"/>
                <w:color w:val="00B050"/>
                <w:szCs w:val="22"/>
                <w:lang w:eastAsia="en-GB"/>
              </w:rPr>
            </w:pPr>
            <w:r w:rsidRPr="00736486">
              <w:rPr>
                <w:rFonts w:cs="Arial"/>
                <w:color w:val="00B050"/>
                <w:sz w:val="22"/>
                <w:szCs w:val="22"/>
              </w:rPr>
              <w:t>128,000</w:t>
            </w:r>
          </w:p>
        </w:tc>
        <w:tc>
          <w:tcPr>
            <w:tcW w:w="1559" w:type="dxa"/>
            <w:tcBorders>
              <w:top w:val="nil"/>
              <w:left w:val="nil"/>
              <w:bottom w:val="nil"/>
              <w:right w:val="single" w:sz="4" w:space="0" w:color="auto"/>
            </w:tcBorders>
            <w:shd w:val="clear" w:color="auto" w:fill="auto"/>
            <w:noWrap/>
            <w:vAlign w:val="center"/>
            <w:hideMark/>
          </w:tcPr>
          <w:p w14:paraId="0541E33B"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94,000</w:t>
            </w:r>
          </w:p>
        </w:tc>
        <w:tc>
          <w:tcPr>
            <w:tcW w:w="1701" w:type="dxa"/>
            <w:tcBorders>
              <w:top w:val="nil"/>
              <w:left w:val="single" w:sz="4" w:space="0" w:color="auto"/>
              <w:bottom w:val="nil"/>
              <w:right w:val="single" w:sz="4" w:space="0" w:color="auto"/>
            </w:tcBorders>
            <w:shd w:val="clear" w:color="auto" w:fill="auto"/>
            <w:noWrap/>
            <w:vAlign w:val="center"/>
            <w:hideMark/>
          </w:tcPr>
          <w:p w14:paraId="4BB714A4"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35,000</w:t>
            </w:r>
          </w:p>
        </w:tc>
      </w:tr>
      <w:tr w:rsidR="00A33D71" w:rsidRPr="00736486" w14:paraId="1FCB9398"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0F887A7C"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2016</w:t>
            </w:r>
          </w:p>
        </w:tc>
        <w:tc>
          <w:tcPr>
            <w:tcW w:w="2267" w:type="dxa"/>
            <w:tcBorders>
              <w:top w:val="nil"/>
              <w:left w:val="single" w:sz="4" w:space="0" w:color="auto"/>
              <w:bottom w:val="nil"/>
              <w:right w:val="nil"/>
            </w:tcBorders>
            <w:shd w:val="clear" w:color="auto" w:fill="auto"/>
            <w:noWrap/>
            <w:vAlign w:val="center"/>
            <w:hideMark/>
          </w:tcPr>
          <w:p w14:paraId="01CF9FD9" w14:textId="77777777" w:rsidR="00A33D71" w:rsidRPr="00736486" w:rsidRDefault="00A33D71" w:rsidP="00AD5765">
            <w:pPr>
              <w:jc w:val="right"/>
              <w:rPr>
                <w:rFonts w:cs="Arial"/>
                <w:color w:val="000000"/>
                <w:szCs w:val="22"/>
                <w:lang w:eastAsia="en-GB"/>
              </w:rPr>
            </w:pPr>
            <w:r w:rsidRPr="00736486">
              <w:rPr>
                <w:rFonts w:cs="Arial"/>
                <w:color w:val="00B050"/>
                <w:sz w:val="22"/>
                <w:szCs w:val="22"/>
              </w:rPr>
              <w:t>94,000</w:t>
            </w:r>
          </w:p>
        </w:tc>
        <w:tc>
          <w:tcPr>
            <w:tcW w:w="2297" w:type="dxa"/>
            <w:tcBorders>
              <w:top w:val="nil"/>
              <w:left w:val="single" w:sz="4" w:space="0" w:color="auto"/>
              <w:bottom w:val="nil"/>
              <w:right w:val="single" w:sz="4" w:space="0" w:color="auto"/>
            </w:tcBorders>
            <w:shd w:val="clear" w:color="auto" w:fill="auto"/>
            <w:noWrap/>
            <w:vAlign w:val="center"/>
            <w:hideMark/>
          </w:tcPr>
          <w:p w14:paraId="1533EF2C" w14:textId="77777777" w:rsidR="00A33D71" w:rsidRPr="00736486" w:rsidRDefault="00A33D71" w:rsidP="00AD5765">
            <w:pPr>
              <w:jc w:val="right"/>
              <w:rPr>
                <w:rFonts w:cs="Arial"/>
                <w:color w:val="00B050"/>
                <w:szCs w:val="22"/>
                <w:lang w:eastAsia="en-GB"/>
              </w:rPr>
            </w:pPr>
            <w:r w:rsidRPr="00736486">
              <w:rPr>
                <w:rFonts w:cs="Arial"/>
                <w:color w:val="00B050"/>
                <w:sz w:val="22"/>
                <w:szCs w:val="22"/>
              </w:rPr>
              <w:t>151,000</w:t>
            </w:r>
          </w:p>
        </w:tc>
        <w:tc>
          <w:tcPr>
            <w:tcW w:w="1559" w:type="dxa"/>
            <w:tcBorders>
              <w:top w:val="nil"/>
              <w:left w:val="nil"/>
              <w:bottom w:val="nil"/>
              <w:right w:val="single" w:sz="4" w:space="0" w:color="auto"/>
            </w:tcBorders>
            <w:shd w:val="clear" w:color="auto" w:fill="auto"/>
            <w:noWrap/>
            <w:vAlign w:val="center"/>
            <w:hideMark/>
          </w:tcPr>
          <w:p w14:paraId="046B2C54"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102,000</w:t>
            </w:r>
          </w:p>
        </w:tc>
        <w:tc>
          <w:tcPr>
            <w:tcW w:w="1701" w:type="dxa"/>
            <w:tcBorders>
              <w:top w:val="nil"/>
              <w:left w:val="single" w:sz="4" w:space="0" w:color="auto"/>
              <w:bottom w:val="nil"/>
              <w:right w:val="single" w:sz="4" w:space="0" w:color="auto"/>
            </w:tcBorders>
            <w:shd w:val="clear" w:color="auto" w:fill="auto"/>
            <w:noWrap/>
            <w:vAlign w:val="center"/>
            <w:hideMark/>
          </w:tcPr>
          <w:p w14:paraId="1E90459E"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49,000</w:t>
            </w:r>
          </w:p>
        </w:tc>
      </w:tr>
      <w:tr w:rsidR="00A33D71" w:rsidRPr="00736486" w14:paraId="1710ECA1"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5FE9F5D9"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2017</w:t>
            </w:r>
          </w:p>
        </w:tc>
        <w:tc>
          <w:tcPr>
            <w:tcW w:w="2267" w:type="dxa"/>
            <w:tcBorders>
              <w:top w:val="nil"/>
              <w:left w:val="single" w:sz="4" w:space="0" w:color="auto"/>
              <w:bottom w:val="nil"/>
              <w:right w:val="nil"/>
            </w:tcBorders>
            <w:shd w:val="clear" w:color="auto" w:fill="auto"/>
            <w:noWrap/>
            <w:vAlign w:val="center"/>
            <w:hideMark/>
          </w:tcPr>
          <w:p w14:paraId="2D89788C" w14:textId="77777777" w:rsidR="00A33D71" w:rsidRPr="00736486" w:rsidRDefault="00A33D71" w:rsidP="00AD5765">
            <w:pPr>
              <w:jc w:val="right"/>
              <w:rPr>
                <w:rFonts w:cs="Arial"/>
                <w:color w:val="FF0000"/>
                <w:szCs w:val="22"/>
                <w:lang w:eastAsia="en-GB"/>
              </w:rPr>
            </w:pPr>
            <w:r w:rsidRPr="00736486">
              <w:rPr>
                <w:rFonts w:cs="Arial"/>
                <w:color w:val="FF0000"/>
                <w:sz w:val="22"/>
                <w:szCs w:val="22"/>
              </w:rPr>
              <w:t>87,000</w:t>
            </w:r>
          </w:p>
        </w:tc>
        <w:tc>
          <w:tcPr>
            <w:tcW w:w="2297" w:type="dxa"/>
            <w:tcBorders>
              <w:top w:val="nil"/>
              <w:left w:val="single" w:sz="4" w:space="0" w:color="auto"/>
              <w:bottom w:val="nil"/>
              <w:right w:val="single" w:sz="4" w:space="0" w:color="auto"/>
            </w:tcBorders>
            <w:shd w:val="clear" w:color="auto" w:fill="auto"/>
            <w:noWrap/>
            <w:vAlign w:val="center"/>
            <w:hideMark/>
          </w:tcPr>
          <w:p w14:paraId="0DE27039"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142,000</w:t>
            </w:r>
          </w:p>
        </w:tc>
        <w:tc>
          <w:tcPr>
            <w:tcW w:w="1559" w:type="dxa"/>
            <w:tcBorders>
              <w:top w:val="nil"/>
              <w:left w:val="nil"/>
              <w:bottom w:val="nil"/>
              <w:right w:val="single" w:sz="4" w:space="0" w:color="auto"/>
            </w:tcBorders>
            <w:shd w:val="clear" w:color="auto" w:fill="auto"/>
            <w:noWrap/>
            <w:vAlign w:val="center"/>
            <w:hideMark/>
          </w:tcPr>
          <w:p w14:paraId="42F7FA9F"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99,000</w:t>
            </w:r>
          </w:p>
        </w:tc>
        <w:tc>
          <w:tcPr>
            <w:tcW w:w="1701" w:type="dxa"/>
            <w:tcBorders>
              <w:top w:val="nil"/>
              <w:left w:val="single" w:sz="4" w:space="0" w:color="auto"/>
              <w:bottom w:val="nil"/>
              <w:right w:val="single" w:sz="4" w:space="0" w:color="auto"/>
            </w:tcBorders>
            <w:shd w:val="clear" w:color="auto" w:fill="auto"/>
            <w:noWrap/>
            <w:vAlign w:val="center"/>
            <w:hideMark/>
          </w:tcPr>
          <w:p w14:paraId="3E567D47"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43,000</w:t>
            </w:r>
          </w:p>
        </w:tc>
      </w:tr>
      <w:tr w:rsidR="00A33D71" w:rsidRPr="00736486" w14:paraId="0BCF8AA1" w14:textId="77777777" w:rsidTr="00B603E1">
        <w:trPr>
          <w:trHeight w:val="300"/>
        </w:trPr>
        <w:tc>
          <w:tcPr>
            <w:tcW w:w="960" w:type="dxa"/>
            <w:tcBorders>
              <w:top w:val="nil"/>
              <w:left w:val="single" w:sz="4" w:space="0" w:color="auto"/>
              <w:bottom w:val="nil"/>
              <w:right w:val="nil"/>
            </w:tcBorders>
            <w:shd w:val="clear" w:color="auto" w:fill="auto"/>
            <w:noWrap/>
            <w:vAlign w:val="bottom"/>
            <w:hideMark/>
          </w:tcPr>
          <w:p w14:paraId="7F529C2C"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2018</w:t>
            </w:r>
          </w:p>
        </w:tc>
        <w:tc>
          <w:tcPr>
            <w:tcW w:w="2267" w:type="dxa"/>
            <w:tcBorders>
              <w:top w:val="nil"/>
              <w:left w:val="single" w:sz="4" w:space="0" w:color="auto"/>
              <w:bottom w:val="nil"/>
              <w:right w:val="nil"/>
            </w:tcBorders>
            <w:shd w:val="clear" w:color="auto" w:fill="auto"/>
            <w:noWrap/>
            <w:vAlign w:val="center"/>
            <w:hideMark/>
          </w:tcPr>
          <w:p w14:paraId="1F3E5353" w14:textId="77777777" w:rsidR="00A33D71" w:rsidRPr="00736486" w:rsidRDefault="00A33D71" w:rsidP="00AD5765">
            <w:pPr>
              <w:jc w:val="right"/>
              <w:rPr>
                <w:rFonts w:cs="Arial"/>
                <w:color w:val="00B050"/>
                <w:szCs w:val="22"/>
                <w:lang w:eastAsia="en-GB"/>
              </w:rPr>
            </w:pPr>
            <w:r w:rsidRPr="00736486">
              <w:rPr>
                <w:rFonts w:cs="Arial"/>
                <w:color w:val="00B050"/>
                <w:sz w:val="22"/>
                <w:szCs w:val="22"/>
              </w:rPr>
              <w:t>97,000</w:t>
            </w:r>
          </w:p>
        </w:tc>
        <w:tc>
          <w:tcPr>
            <w:tcW w:w="2297" w:type="dxa"/>
            <w:tcBorders>
              <w:top w:val="nil"/>
              <w:left w:val="single" w:sz="4" w:space="0" w:color="auto"/>
              <w:bottom w:val="nil"/>
              <w:right w:val="single" w:sz="4" w:space="0" w:color="auto"/>
            </w:tcBorders>
            <w:shd w:val="clear" w:color="auto" w:fill="auto"/>
            <w:noWrap/>
            <w:vAlign w:val="center"/>
            <w:hideMark/>
          </w:tcPr>
          <w:p w14:paraId="350F5D10"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136,000</w:t>
            </w:r>
          </w:p>
        </w:tc>
        <w:tc>
          <w:tcPr>
            <w:tcW w:w="1559" w:type="dxa"/>
            <w:tcBorders>
              <w:top w:val="nil"/>
              <w:left w:val="nil"/>
              <w:bottom w:val="nil"/>
              <w:right w:val="single" w:sz="4" w:space="0" w:color="auto"/>
            </w:tcBorders>
            <w:shd w:val="clear" w:color="auto" w:fill="auto"/>
            <w:noWrap/>
            <w:vAlign w:val="center"/>
            <w:hideMark/>
          </w:tcPr>
          <w:p w14:paraId="2971F459"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92,000</w:t>
            </w:r>
          </w:p>
        </w:tc>
        <w:tc>
          <w:tcPr>
            <w:tcW w:w="1701" w:type="dxa"/>
            <w:tcBorders>
              <w:top w:val="nil"/>
              <w:left w:val="single" w:sz="4" w:space="0" w:color="auto"/>
              <w:bottom w:val="nil"/>
              <w:right w:val="single" w:sz="4" w:space="0" w:color="auto"/>
            </w:tcBorders>
            <w:shd w:val="clear" w:color="auto" w:fill="auto"/>
            <w:noWrap/>
            <w:vAlign w:val="center"/>
            <w:hideMark/>
          </w:tcPr>
          <w:p w14:paraId="13B7C364"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44,000</w:t>
            </w:r>
          </w:p>
        </w:tc>
      </w:tr>
      <w:tr w:rsidR="00A33D71" w:rsidRPr="00736486" w14:paraId="26C6DA3E" w14:textId="77777777" w:rsidTr="00B603E1">
        <w:trPr>
          <w:trHeight w:val="300"/>
        </w:trPr>
        <w:tc>
          <w:tcPr>
            <w:tcW w:w="960" w:type="dxa"/>
            <w:tcBorders>
              <w:top w:val="nil"/>
              <w:left w:val="single" w:sz="4" w:space="0" w:color="auto"/>
              <w:right w:val="nil"/>
            </w:tcBorders>
            <w:shd w:val="clear" w:color="auto" w:fill="auto"/>
            <w:noWrap/>
            <w:vAlign w:val="bottom"/>
            <w:hideMark/>
          </w:tcPr>
          <w:p w14:paraId="3405F7EA"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2019</w:t>
            </w:r>
          </w:p>
        </w:tc>
        <w:tc>
          <w:tcPr>
            <w:tcW w:w="2267" w:type="dxa"/>
            <w:tcBorders>
              <w:top w:val="nil"/>
              <w:left w:val="single" w:sz="4" w:space="0" w:color="auto"/>
              <w:right w:val="nil"/>
            </w:tcBorders>
            <w:shd w:val="clear" w:color="auto" w:fill="auto"/>
            <w:noWrap/>
            <w:vAlign w:val="center"/>
            <w:hideMark/>
          </w:tcPr>
          <w:p w14:paraId="6404930A" w14:textId="77777777" w:rsidR="00A33D71" w:rsidRPr="00736486" w:rsidRDefault="00A33D71" w:rsidP="00AD5765">
            <w:pPr>
              <w:jc w:val="right"/>
              <w:rPr>
                <w:rFonts w:cs="Arial"/>
                <w:color w:val="00B050"/>
                <w:szCs w:val="22"/>
                <w:lang w:eastAsia="en-GB"/>
              </w:rPr>
            </w:pPr>
            <w:r w:rsidRPr="00736486">
              <w:rPr>
                <w:rFonts w:cs="Arial"/>
                <w:color w:val="00B050"/>
                <w:sz w:val="22"/>
                <w:szCs w:val="22"/>
              </w:rPr>
              <w:t>101,000</w:t>
            </w:r>
          </w:p>
        </w:tc>
        <w:tc>
          <w:tcPr>
            <w:tcW w:w="2297" w:type="dxa"/>
            <w:tcBorders>
              <w:top w:val="nil"/>
              <w:left w:val="single" w:sz="4" w:space="0" w:color="auto"/>
              <w:right w:val="single" w:sz="4" w:space="0" w:color="auto"/>
            </w:tcBorders>
            <w:shd w:val="clear" w:color="auto" w:fill="auto"/>
            <w:noWrap/>
            <w:vAlign w:val="center"/>
            <w:hideMark/>
          </w:tcPr>
          <w:p w14:paraId="1E89C7F8"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138,000</w:t>
            </w:r>
          </w:p>
        </w:tc>
        <w:tc>
          <w:tcPr>
            <w:tcW w:w="1559" w:type="dxa"/>
            <w:tcBorders>
              <w:top w:val="nil"/>
              <w:left w:val="nil"/>
              <w:right w:val="single" w:sz="4" w:space="0" w:color="auto"/>
            </w:tcBorders>
            <w:shd w:val="clear" w:color="auto" w:fill="auto"/>
            <w:noWrap/>
            <w:vAlign w:val="center"/>
            <w:hideMark/>
          </w:tcPr>
          <w:p w14:paraId="26C926B3"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96,000</w:t>
            </w:r>
          </w:p>
        </w:tc>
        <w:tc>
          <w:tcPr>
            <w:tcW w:w="1701" w:type="dxa"/>
            <w:tcBorders>
              <w:top w:val="nil"/>
              <w:left w:val="single" w:sz="4" w:space="0" w:color="auto"/>
              <w:right w:val="single" w:sz="4" w:space="0" w:color="auto"/>
            </w:tcBorders>
            <w:shd w:val="clear" w:color="auto" w:fill="auto"/>
            <w:noWrap/>
            <w:vAlign w:val="center"/>
            <w:hideMark/>
          </w:tcPr>
          <w:p w14:paraId="0DDE5DF3"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42,000</w:t>
            </w:r>
          </w:p>
        </w:tc>
      </w:tr>
      <w:tr w:rsidR="00A33D71" w:rsidRPr="00736486" w14:paraId="7478074C" w14:textId="77777777" w:rsidTr="00B603E1">
        <w:trPr>
          <w:trHeight w:val="300"/>
        </w:trPr>
        <w:tc>
          <w:tcPr>
            <w:tcW w:w="960" w:type="dxa"/>
            <w:tcBorders>
              <w:left w:val="single" w:sz="4" w:space="0" w:color="auto"/>
              <w:right w:val="nil"/>
            </w:tcBorders>
            <w:shd w:val="clear" w:color="auto" w:fill="auto"/>
            <w:noWrap/>
            <w:vAlign w:val="bottom"/>
          </w:tcPr>
          <w:p w14:paraId="35AF4162"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2020</w:t>
            </w:r>
          </w:p>
        </w:tc>
        <w:tc>
          <w:tcPr>
            <w:tcW w:w="2267" w:type="dxa"/>
            <w:tcBorders>
              <w:left w:val="single" w:sz="4" w:space="0" w:color="auto"/>
              <w:right w:val="nil"/>
            </w:tcBorders>
            <w:shd w:val="clear" w:color="auto" w:fill="auto"/>
            <w:noWrap/>
            <w:vAlign w:val="center"/>
          </w:tcPr>
          <w:p w14:paraId="1F6C23AC" w14:textId="77777777" w:rsidR="00A33D71" w:rsidRPr="00736486" w:rsidRDefault="00A33D71" w:rsidP="00AD5765">
            <w:pPr>
              <w:jc w:val="right"/>
              <w:rPr>
                <w:rFonts w:cs="Arial"/>
                <w:color w:val="000000"/>
                <w:szCs w:val="22"/>
                <w:lang w:eastAsia="en-GB"/>
              </w:rPr>
            </w:pPr>
            <w:r w:rsidRPr="00736486">
              <w:rPr>
                <w:rFonts w:cs="Arial"/>
                <w:color w:val="FF0000"/>
                <w:sz w:val="22"/>
                <w:szCs w:val="22"/>
              </w:rPr>
              <w:t>96,000</w:t>
            </w:r>
          </w:p>
        </w:tc>
        <w:tc>
          <w:tcPr>
            <w:tcW w:w="2297" w:type="dxa"/>
            <w:tcBorders>
              <w:left w:val="single" w:sz="4" w:space="0" w:color="auto"/>
              <w:right w:val="single" w:sz="4" w:space="0" w:color="auto"/>
            </w:tcBorders>
            <w:shd w:val="clear" w:color="auto" w:fill="auto"/>
            <w:noWrap/>
            <w:vAlign w:val="center"/>
          </w:tcPr>
          <w:p w14:paraId="12A13383" w14:textId="77777777" w:rsidR="00A33D71" w:rsidRPr="00736486" w:rsidRDefault="00A33D71" w:rsidP="00AD5765">
            <w:pPr>
              <w:jc w:val="right"/>
              <w:rPr>
                <w:rFonts w:cs="Arial"/>
                <w:color w:val="000000"/>
                <w:szCs w:val="22"/>
                <w:lang w:eastAsia="en-GB"/>
              </w:rPr>
            </w:pPr>
            <w:r w:rsidRPr="00736486">
              <w:rPr>
                <w:rFonts w:cs="Arial"/>
                <w:color w:val="000000"/>
                <w:sz w:val="22"/>
                <w:szCs w:val="22"/>
              </w:rPr>
              <w:t>140,000</w:t>
            </w:r>
          </w:p>
        </w:tc>
        <w:tc>
          <w:tcPr>
            <w:tcW w:w="1559" w:type="dxa"/>
            <w:tcBorders>
              <w:left w:val="nil"/>
              <w:right w:val="single" w:sz="4" w:space="0" w:color="auto"/>
            </w:tcBorders>
            <w:shd w:val="clear" w:color="auto" w:fill="auto"/>
            <w:noWrap/>
            <w:vAlign w:val="center"/>
          </w:tcPr>
          <w:p w14:paraId="4D41DAA4"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96,000</w:t>
            </w:r>
          </w:p>
        </w:tc>
        <w:tc>
          <w:tcPr>
            <w:tcW w:w="1701" w:type="dxa"/>
            <w:tcBorders>
              <w:left w:val="single" w:sz="4" w:space="0" w:color="auto"/>
              <w:right w:val="single" w:sz="4" w:space="0" w:color="auto"/>
            </w:tcBorders>
            <w:shd w:val="clear" w:color="auto" w:fill="auto"/>
            <w:noWrap/>
            <w:vAlign w:val="center"/>
          </w:tcPr>
          <w:p w14:paraId="726DAC4D"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44,000</w:t>
            </w:r>
          </w:p>
        </w:tc>
      </w:tr>
      <w:tr w:rsidR="00A33D71" w:rsidRPr="00736486" w14:paraId="6F95D223" w14:textId="77777777" w:rsidTr="008C282E">
        <w:trPr>
          <w:trHeight w:val="300"/>
        </w:trPr>
        <w:tc>
          <w:tcPr>
            <w:tcW w:w="960" w:type="dxa"/>
            <w:tcBorders>
              <w:left w:val="single" w:sz="4" w:space="0" w:color="auto"/>
              <w:right w:val="nil"/>
            </w:tcBorders>
            <w:shd w:val="clear" w:color="auto" w:fill="auto"/>
            <w:noWrap/>
            <w:vAlign w:val="bottom"/>
          </w:tcPr>
          <w:p w14:paraId="3BBCDC3B" w14:textId="77777777" w:rsidR="00A33D71" w:rsidRPr="00736486" w:rsidRDefault="00A33D71" w:rsidP="00AD5765">
            <w:pPr>
              <w:rPr>
                <w:rFonts w:cs="Arial"/>
                <w:b/>
                <w:bCs/>
                <w:color w:val="000000"/>
                <w:szCs w:val="22"/>
                <w:lang w:eastAsia="en-GB"/>
              </w:rPr>
            </w:pPr>
            <w:r w:rsidRPr="00736486">
              <w:rPr>
                <w:rFonts w:cs="Arial"/>
                <w:b/>
                <w:bCs/>
                <w:color w:val="000000"/>
                <w:sz w:val="22"/>
                <w:szCs w:val="22"/>
                <w:lang w:eastAsia="en-GB"/>
              </w:rPr>
              <w:t>2021</w:t>
            </w:r>
          </w:p>
        </w:tc>
        <w:tc>
          <w:tcPr>
            <w:tcW w:w="2267" w:type="dxa"/>
            <w:tcBorders>
              <w:left w:val="single" w:sz="4" w:space="0" w:color="auto"/>
              <w:right w:val="nil"/>
            </w:tcBorders>
            <w:shd w:val="clear" w:color="auto" w:fill="auto"/>
            <w:noWrap/>
            <w:vAlign w:val="center"/>
          </w:tcPr>
          <w:p w14:paraId="57599362" w14:textId="77777777" w:rsidR="00A33D71" w:rsidRPr="00736486" w:rsidRDefault="00A33D71" w:rsidP="00AD5765">
            <w:pPr>
              <w:jc w:val="right"/>
              <w:rPr>
                <w:rFonts w:cs="Arial"/>
                <w:color w:val="000000"/>
                <w:szCs w:val="22"/>
                <w:lang w:eastAsia="en-GB"/>
              </w:rPr>
            </w:pPr>
            <w:r w:rsidRPr="00736486">
              <w:rPr>
                <w:rFonts w:cs="Arial"/>
                <w:color w:val="FF0000"/>
                <w:sz w:val="22"/>
                <w:szCs w:val="22"/>
              </w:rPr>
              <w:t>90,000</w:t>
            </w:r>
          </w:p>
        </w:tc>
        <w:tc>
          <w:tcPr>
            <w:tcW w:w="2297" w:type="dxa"/>
            <w:tcBorders>
              <w:left w:val="single" w:sz="4" w:space="0" w:color="auto"/>
              <w:right w:val="single" w:sz="4" w:space="0" w:color="auto"/>
            </w:tcBorders>
            <w:shd w:val="clear" w:color="auto" w:fill="auto"/>
            <w:noWrap/>
            <w:vAlign w:val="center"/>
          </w:tcPr>
          <w:p w14:paraId="2277E92D" w14:textId="77777777" w:rsidR="00A33D71" w:rsidRPr="00736486" w:rsidRDefault="00A33D71" w:rsidP="00AD5765">
            <w:pPr>
              <w:jc w:val="right"/>
              <w:rPr>
                <w:rFonts w:cs="Arial"/>
                <w:color w:val="000000"/>
                <w:szCs w:val="22"/>
                <w:lang w:eastAsia="en-GB"/>
              </w:rPr>
            </w:pPr>
            <w:r w:rsidRPr="00736486">
              <w:rPr>
                <w:rFonts w:cs="Arial"/>
                <w:color w:val="00B050"/>
                <w:sz w:val="22"/>
                <w:szCs w:val="22"/>
              </w:rPr>
              <w:t>164,000</w:t>
            </w:r>
          </w:p>
        </w:tc>
        <w:tc>
          <w:tcPr>
            <w:tcW w:w="1559" w:type="dxa"/>
            <w:tcBorders>
              <w:left w:val="nil"/>
              <w:right w:val="single" w:sz="4" w:space="0" w:color="auto"/>
            </w:tcBorders>
            <w:shd w:val="clear" w:color="auto" w:fill="auto"/>
            <w:noWrap/>
            <w:vAlign w:val="center"/>
          </w:tcPr>
          <w:p w14:paraId="6D391D44"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116,000</w:t>
            </w:r>
          </w:p>
        </w:tc>
        <w:tc>
          <w:tcPr>
            <w:tcW w:w="1701" w:type="dxa"/>
            <w:tcBorders>
              <w:left w:val="single" w:sz="4" w:space="0" w:color="auto"/>
              <w:right w:val="single" w:sz="4" w:space="0" w:color="auto"/>
            </w:tcBorders>
            <w:shd w:val="clear" w:color="auto" w:fill="auto"/>
            <w:noWrap/>
            <w:vAlign w:val="center"/>
          </w:tcPr>
          <w:p w14:paraId="4324A334" w14:textId="77777777" w:rsidR="00A33D71" w:rsidRPr="00736486" w:rsidRDefault="00A33D71" w:rsidP="00AD5765">
            <w:pPr>
              <w:jc w:val="right"/>
              <w:rPr>
                <w:rFonts w:cs="Arial"/>
                <w:color w:val="808080"/>
                <w:szCs w:val="22"/>
                <w:lang w:eastAsia="en-GB"/>
              </w:rPr>
            </w:pPr>
            <w:r w:rsidRPr="00736486">
              <w:rPr>
                <w:rFonts w:cs="Arial"/>
                <w:color w:val="808080"/>
                <w:sz w:val="22"/>
                <w:szCs w:val="22"/>
              </w:rPr>
              <w:t>49,000</w:t>
            </w:r>
          </w:p>
        </w:tc>
      </w:tr>
      <w:tr w:rsidR="00A33D71" w:rsidRPr="00736486" w14:paraId="0306087B" w14:textId="77777777" w:rsidTr="00B603E1">
        <w:trPr>
          <w:trHeight w:val="300"/>
        </w:trPr>
        <w:tc>
          <w:tcPr>
            <w:tcW w:w="960" w:type="dxa"/>
            <w:tcBorders>
              <w:left w:val="single" w:sz="4" w:space="0" w:color="auto"/>
              <w:bottom w:val="single" w:sz="4" w:space="0" w:color="auto"/>
              <w:right w:val="nil"/>
            </w:tcBorders>
            <w:shd w:val="clear" w:color="auto" w:fill="auto"/>
            <w:noWrap/>
            <w:vAlign w:val="bottom"/>
          </w:tcPr>
          <w:p w14:paraId="61AB7728" w14:textId="77777777" w:rsidR="00A33D71" w:rsidRPr="00736486" w:rsidRDefault="00A33D71" w:rsidP="00AD5765">
            <w:pPr>
              <w:rPr>
                <w:rFonts w:cs="Arial"/>
                <w:b/>
                <w:bCs/>
                <w:color w:val="000000"/>
                <w:szCs w:val="22"/>
                <w:lang w:eastAsia="en-GB"/>
              </w:rPr>
            </w:pPr>
            <w:r>
              <w:rPr>
                <w:rFonts w:cs="Arial"/>
                <w:b/>
                <w:bCs/>
                <w:color w:val="000000"/>
                <w:sz w:val="22"/>
                <w:szCs w:val="22"/>
                <w:lang w:eastAsia="en-GB"/>
              </w:rPr>
              <w:t>2022</w:t>
            </w:r>
          </w:p>
        </w:tc>
        <w:tc>
          <w:tcPr>
            <w:tcW w:w="2267" w:type="dxa"/>
            <w:tcBorders>
              <w:left w:val="single" w:sz="4" w:space="0" w:color="auto"/>
              <w:bottom w:val="single" w:sz="4" w:space="0" w:color="auto"/>
              <w:right w:val="nil"/>
            </w:tcBorders>
            <w:shd w:val="clear" w:color="auto" w:fill="auto"/>
            <w:noWrap/>
            <w:vAlign w:val="center"/>
          </w:tcPr>
          <w:p w14:paraId="0A072FD9" w14:textId="0A3824B8" w:rsidR="00A33D71" w:rsidRPr="008C282E" w:rsidRDefault="00EC0A3C" w:rsidP="00AD5765">
            <w:pPr>
              <w:jc w:val="right"/>
              <w:rPr>
                <w:rFonts w:cs="Arial"/>
              </w:rPr>
            </w:pPr>
            <w:r w:rsidRPr="008C282E">
              <w:rPr>
                <w:rFonts w:cs="Arial"/>
              </w:rPr>
              <w:t>N/A</w:t>
            </w:r>
          </w:p>
        </w:tc>
        <w:tc>
          <w:tcPr>
            <w:tcW w:w="2297" w:type="dxa"/>
            <w:tcBorders>
              <w:left w:val="single" w:sz="4" w:space="0" w:color="auto"/>
              <w:bottom w:val="single" w:sz="4" w:space="0" w:color="auto"/>
              <w:right w:val="single" w:sz="4" w:space="0" w:color="auto"/>
            </w:tcBorders>
            <w:shd w:val="clear" w:color="auto" w:fill="auto"/>
            <w:noWrap/>
            <w:vAlign w:val="center"/>
          </w:tcPr>
          <w:p w14:paraId="50C3440A" w14:textId="34C162AD" w:rsidR="00A33D71" w:rsidRPr="008C282E" w:rsidRDefault="008E1121" w:rsidP="00AD5765">
            <w:pPr>
              <w:jc w:val="right"/>
              <w:rPr>
                <w:rFonts w:cs="Arial"/>
              </w:rPr>
            </w:pPr>
            <w:r w:rsidRPr="008C282E">
              <w:rPr>
                <w:rFonts w:cs="Arial"/>
                <w:sz w:val="22"/>
              </w:rPr>
              <w:t>155,000</w:t>
            </w:r>
          </w:p>
        </w:tc>
        <w:tc>
          <w:tcPr>
            <w:tcW w:w="1559" w:type="dxa"/>
            <w:tcBorders>
              <w:left w:val="nil"/>
              <w:bottom w:val="single" w:sz="4" w:space="0" w:color="auto"/>
              <w:right w:val="single" w:sz="4" w:space="0" w:color="auto"/>
            </w:tcBorders>
            <w:shd w:val="clear" w:color="auto" w:fill="auto"/>
            <w:noWrap/>
            <w:vAlign w:val="center"/>
          </w:tcPr>
          <w:p w14:paraId="6E1613EA" w14:textId="7D885147" w:rsidR="00A33D71" w:rsidRPr="003979F6" w:rsidRDefault="008E1121" w:rsidP="00AD5765">
            <w:pPr>
              <w:jc w:val="right"/>
              <w:rPr>
                <w:rFonts w:cs="Arial"/>
                <w:color w:val="808080"/>
              </w:rPr>
            </w:pPr>
            <w:r w:rsidRPr="003979F6">
              <w:rPr>
                <w:rFonts w:cs="Arial"/>
                <w:color w:val="808080"/>
                <w:sz w:val="22"/>
              </w:rPr>
              <w:t>106,000</w:t>
            </w:r>
          </w:p>
        </w:tc>
        <w:tc>
          <w:tcPr>
            <w:tcW w:w="1701" w:type="dxa"/>
            <w:tcBorders>
              <w:left w:val="single" w:sz="4" w:space="0" w:color="auto"/>
              <w:bottom w:val="single" w:sz="4" w:space="0" w:color="auto"/>
              <w:right w:val="single" w:sz="4" w:space="0" w:color="auto"/>
            </w:tcBorders>
            <w:shd w:val="clear" w:color="auto" w:fill="auto"/>
            <w:noWrap/>
            <w:vAlign w:val="center"/>
          </w:tcPr>
          <w:p w14:paraId="6006E181" w14:textId="58B6536B" w:rsidR="00A33D71" w:rsidRPr="003979F6" w:rsidRDefault="008E1121" w:rsidP="00AD5765">
            <w:pPr>
              <w:jc w:val="right"/>
              <w:rPr>
                <w:rFonts w:cs="Arial"/>
                <w:color w:val="808080"/>
              </w:rPr>
            </w:pPr>
            <w:r w:rsidRPr="003979F6">
              <w:rPr>
                <w:rFonts w:cs="Arial"/>
                <w:color w:val="808080"/>
                <w:sz w:val="22"/>
              </w:rPr>
              <w:t>49,000</w:t>
            </w:r>
          </w:p>
        </w:tc>
      </w:tr>
      <w:tr w:rsidR="00A33D71" w:rsidRPr="00736486" w14:paraId="6F32CF45" w14:textId="77777777" w:rsidTr="00AD5765">
        <w:trPr>
          <w:trHeight w:val="315"/>
        </w:trPr>
        <w:tc>
          <w:tcPr>
            <w:tcW w:w="87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FF867" w14:textId="77777777" w:rsidR="00A33D71" w:rsidRPr="00736486" w:rsidRDefault="00A33D71" w:rsidP="00AD5765">
            <w:pPr>
              <w:rPr>
                <w:rFonts w:cs="Arial"/>
                <w:color w:val="000000"/>
                <w:sz w:val="20"/>
                <w:lang w:eastAsia="en-GB"/>
              </w:rPr>
            </w:pPr>
            <w:r w:rsidRPr="00736486">
              <w:rPr>
                <w:rFonts w:cs="Arial"/>
                <w:b/>
                <w:bCs/>
                <w:color w:val="000000"/>
                <w:sz w:val="20"/>
                <w:lang w:eastAsia="en-GB"/>
              </w:rPr>
              <w:t>Source</w:t>
            </w:r>
            <w:r w:rsidRPr="00736486">
              <w:rPr>
                <w:rFonts w:cs="Arial"/>
                <w:color w:val="000000"/>
                <w:sz w:val="20"/>
                <w:lang w:eastAsia="en-GB"/>
              </w:rPr>
              <w:t xml:space="preserve">: </w:t>
            </w:r>
            <w:r w:rsidRPr="00736486">
              <w:rPr>
                <w:rFonts w:cs="Arial"/>
                <w:i/>
                <w:color w:val="000000"/>
                <w:sz w:val="20"/>
                <w:lang w:eastAsia="en-GB"/>
              </w:rPr>
              <w:t>Business Register and Employment Survey (BRES), SG, ONS; and Annual Population Survey (APS), Jan-Dec dataset, ONS</w:t>
            </w:r>
          </w:p>
          <w:p w14:paraId="5D695738" w14:textId="77777777" w:rsidR="00A33D71" w:rsidRPr="00736486" w:rsidRDefault="00A33D71" w:rsidP="00AD5765">
            <w:pPr>
              <w:rPr>
                <w:rFonts w:cs="Arial"/>
                <w:color w:val="000000"/>
                <w:sz w:val="20"/>
                <w:lang w:eastAsia="en-GB"/>
              </w:rPr>
            </w:pPr>
            <w:r w:rsidRPr="00736486">
              <w:rPr>
                <w:rFonts w:cs="Arial"/>
                <w:b/>
                <w:color w:val="000000"/>
                <w:sz w:val="20"/>
                <w:lang w:eastAsia="en-GB"/>
              </w:rPr>
              <w:t xml:space="preserve">Note: </w:t>
            </w:r>
            <w:r w:rsidRPr="00736486">
              <w:rPr>
                <w:rFonts w:cs="Arial"/>
                <w:color w:val="000000"/>
                <w:sz w:val="20"/>
                <w:lang w:eastAsia="en-GB"/>
              </w:rPr>
              <w:t xml:space="preserve">Estimates rounded to the nearest thousand. All estimates </w:t>
            </w:r>
            <w:r w:rsidRPr="00736486">
              <w:rPr>
                <w:rFonts w:cs="Arial"/>
                <w:bCs/>
                <w:color w:val="000000"/>
                <w:sz w:val="20"/>
                <w:lang w:eastAsia="en-GB"/>
              </w:rPr>
              <w:t>based on broadened SIC 2007 definition</w:t>
            </w:r>
            <w:r w:rsidRPr="00736486">
              <w:rPr>
                <w:rFonts w:cs="Arial"/>
                <w:color w:val="000000"/>
                <w:sz w:val="20"/>
                <w:lang w:eastAsia="en-GB"/>
              </w:rPr>
              <w:t xml:space="preserve"> of the Arts, culture and creative sector.</w:t>
            </w:r>
          </w:p>
          <w:p w14:paraId="2D43DAFC" w14:textId="390BFCF3" w:rsidR="00A33D71" w:rsidRPr="00736486" w:rsidRDefault="00A33D71" w:rsidP="00AD5765">
            <w:pPr>
              <w:rPr>
                <w:rFonts w:cs="Arial"/>
                <w:iCs/>
                <w:sz w:val="20"/>
                <w:lang w:eastAsia="en-GB"/>
              </w:rPr>
            </w:pPr>
            <w:r w:rsidRPr="00736486">
              <w:rPr>
                <w:rFonts w:cs="Arial"/>
                <w:iCs/>
                <w:color w:val="000000"/>
                <w:sz w:val="20"/>
                <w:lang w:eastAsia="en-GB"/>
              </w:rPr>
              <w:t>‘</w:t>
            </w:r>
            <w:r w:rsidRPr="00736486">
              <w:rPr>
                <w:rFonts w:cs="Arial"/>
                <w:iCs/>
                <w:color w:val="00B050"/>
                <w:sz w:val="20"/>
                <w:lang w:eastAsia="en-GB"/>
              </w:rPr>
              <w:t>Green</w:t>
            </w:r>
            <w:r w:rsidRPr="00736486">
              <w:rPr>
                <w:rFonts w:cs="Arial"/>
                <w:iCs/>
                <w:sz w:val="20"/>
                <w:lang w:eastAsia="en-GB"/>
              </w:rPr>
              <w:t xml:space="preserve">’ text indicates that the performance marking in the NPF would be performance improving under </w:t>
            </w:r>
            <w:r w:rsidR="00B603E1">
              <w:rPr>
                <w:rFonts w:cs="Arial"/>
                <w:iCs/>
                <w:sz w:val="20"/>
                <w:lang w:eastAsia="en-GB"/>
              </w:rPr>
              <w:t>previous</w:t>
            </w:r>
            <w:r w:rsidRPr="00736486">
              <w:rPr>
                <w:rFonts w:cs="Arial"/>
                <w:iCs/>
                <w:sz w:val="20"/>
                <w:lang w:eastAsia="en-GB"/>
              </w:rPr>
              <w:t xml:space="preserve"> / </w:t>
            </w:r>
            <w:r w:rsidR="00B603E1">
              <w:rPr>
                <w:rFonts w:cs="Arial"/>
                <w:iCs/>
                <w:sz w:val="20"/>
                <w:lang w:eastAsia="en-GB"/>
              </w:rPr>
              <w:t>new</w:t>
            </w:r>
            <w:r w:rsidRPr="00736486">
              <w:rPr>
                <w:rFonts w:cs="Arial"/>
                <w:iCs/>
                <w:sz w:val="20"/>
                <w:lang w:eastAsia="en-GB"/>
              </w:rPr>
              <w:t xml:space="preserve"> measurement.</w:t>
            </w:r>
          </w:p>
          <w:p w14:paraId="1F34AEA5" w14:textId="38EB949A" w:rsidR="00A33D71" w:rsidRPr="00736486" w:rsidRDefault="00A33D71" w:rsidP="00AD5765">
            <w:pPr>
              <w:rPr>
                <w:rFonts w:cs="Arial"/>
                <w:iCs/>
                <w:sz w:val="20"/>
                <w:lang w:eastAsia="en-GB"/>
              </w:rPr>
            </w:pPr>
            <w:r w:rsidRPr="00736486">
              <w:rPr>
                <w:rFonts w:cs="Arial"/>
                <w:iCs/>
                <w:color w:val="000000"/>
                <w:sz w:val="20"/>
                <w:lang w:eastAsia="en-GB"/>
              </w:rPr>
              <w:t>‘</w:t>
            </w:r>
            <w:r w:rsidRPr="00736486">
              <w:rPr>
                <w:rFonts w:cs="Arial"/>
                <w:iCs/>
                <w:color w:val="FF0000"/>
                <w:sz w:val="20"/>
                <w:lang w:eastAsia="en-GB"/>
              </w:rPr>
              <w:t>Red’</w:t>
            </w:r>
            <w:r w:rsidRPr="00736486">
              <w:rPr>
                <w:rFonts w:cs="Arial"/>
                <w:iCs/>
                <w:sz w:val="20"/>
                <w:lang w:eastAsia="en-GB"/>
              </w:rPr>
              <w:t xml:space="preserve"> text indicates that the performance marking in the NPF would be performance worsening under </w:t>
            </w:r>
            <w:r w:rsidR="00B603E1">
              <w:rPr>
                <w:rFonts w:cs="Arial"/>
                <w:iCs/>
                <w:sz w:val="20"/>
                <w:lang w:eastAsia="en-GB"/>
              </w:rPr>
              <w:t>previous</w:t>
            </w:r>
            <w:r w:rsidR="00B603E1" w:rsidRPr="00736486">
              <w:rPr>
                <w:rFonts w:cs="Arial"/>
                <w:iCs/>
                <w:sz w:val="20"/>
                <w:lang w:eastAsia="en-GB"/>
              </w:rPr>
              <w:t xml:space="preserve"> / </w:t>
            </w:r>
            <w:r w:rsidR="00B603E1">
              <w:rPr>
                <w:rFonts w:cs="Arial"/>
                <w:iCs/>
                <w:sz w:val="20"/>
                <w:lang w:eastAsia="en-GB"/>
              </w:rPr>
              <w:t>new</w:t>
            </w:r>
            <w:r w:rsidR="00B603E1" w:rsidRPr="00736486">
              <w:rPr>
                <w:rFonts w:cs="Arial"/>
                <w:iCs/>
                <w:sz w:val="20"/>
                <w:lang w:eastAsia="en-GB"/>
              </w:rPr>
              <w:t xml:space="preserve"> measurement</w:t>
            </w:r>
            <w:r w:rsidRPr="00736486">
              <w:rPr>
                <w:rFonts w:cs="Arial"/>
                <w:iCs/>
                <w:sz w:val="20"/>
                <w:lang w:eastAsia="en-GB"/>
              </w:rPr>
              <w:t>.</w:t>
            </w:r>
          </w:p>
          <w:p w14:paraId="431CB327" w14:textId="77777777" w:rsidR="00A33D71" w:rsidRPr="00736486" w:rsidRDefault="00A33D71" w:rsidP="00AD5765">
            <w:pPr>
              <w:rPr>
                <w:rFonts w:cs="Arial"/>
                <w:iCs/>
                <w:sz w:val="20"/>
                <w:lang w:eastAsia="en-GB"/>
              </w:rPr>
            </w:pPr>
          </w:p>
          <w:p w14:paraId="3F11B663" w14:textId="77777777" w:rsidR="00A33D71" w:rsidRPr="00736486" w:rsidRDefault="00A33D71" w:rsidP="00AD5765">
            <w:pPr>
              <w:rPr>
                <w:rFonts w:cs="Arial"/>
                <w:bCs/>
                <w:color w:val="000000"/>
                <w:sz w:val="20"/>
                <w:lang w:eastAsia="en-GB"/>
              </w:rPr>
            </w:pPr>
            <w:r w:rsidRPr="00736486">
              <w:rPr>
                <w:rFonts w:cs="Arial"/>
                <w:bCs/>
                <w:color w:val="000000"/>
                <w:sz w:val="20"/>
                <w:u w:val="single"/>
                <w:lang w:eastAsia="en-GB"/>
              </w:rPr>
              <w:t>BRES</w:t>
            </w:r>
            <w:r w:rsidRPr="00736486">
              <w:rPr>
                <w:rFonts w:cs="Arial"/>
                <w:bCs/>
                <w:color w:val="000000"/>
                <w:sz w:val="20"/>
                <w:lang w:eastAsia="en-GB"/>
              </w:rPr>
              <w:t xml:space="preserve"> – Survey of businesses and analysis is workplace based. Covers employee jobs and addition of a population of solely PAYE based businesses. The estimates for 2015 onwards include the addition of a population of solely PAYE based businesses. </w:t>
            </w:r>
          </w:p>
          <w:p w14:paraId="258EB7ED" w14:textId="77777777" w:rsidR="00A33D71" w:rsidRPr="00736486" w:rsidRDefault="00A33D71" w:rsidP="00AD5765">
            <w:pPr>
              <w:rPr>
                <w:rFonts w:cs="Arial"/>
                <w:b/>
                <w:bCs/>
                <w:color w:val="000000"/>
                <w:szCs w:val="24"/>
                <w:lang w:eastAsia="en-GB"/>
              </w:rPr>
            </w:pPr>
            <w:r w:rsidRPr="00736486">
              <w:rPr>
                <w:rFonts w:cs="Arial"/>
                <w:bCs/>
                <w:color w:val="000000"/>
                <w:sz w:val="20"/>
                <w:u w:val="single"/>
                <w:lang w:eastAsia="en-GB"/>
              </w:rPr>
              <w:t xml:space="preserve">APS </w:t>
            </w:r>
            <w:r w:rsidRPr="00736486">
              <w:rPr>
                <w:rFonts w:cs="Arial"/>
                <w:bCs/>
                <w:color w:val="000000"/>
                <w:sz w:val="20"/>
                <w:lang w:eastAsia="en-GB"/>
              </w:rPr>
              <w:t xml:space="preserve">– Survey of households with industry being self-reported and analysis is residence based. ‘Employees’ covers employees with main job in the sector. ‘Self-employed and other’ covers self-employment, government training schemes and unpaid family worker, as a main job in the sector. </w:t>
            </w:r>
          </w:p>
        </w:tc>
      </w:tr>
    </w:tbl>
    <w:p w14:paraId="34826F72" w14:textId="77777777" w:rsidR="00A33D71" w:rsidRPr="00736486" w:rsidRDefault="00A33D71" w:rsidP="00885CE8"/>
    <w:p w14:paraId="17714259" w14:textId="3D034CC8" w:rsidR="008B462A" w:rsidRPr="00736486" w:rsidRDefault="008B462A" w:rsidP="00C53777">
      <w:pPr>
        <w:pStyle w:val="Heading1"/>
        <w:numPr>
          <w:ilvl w:val="0"/>
          <w:numId w:val="0"/>
        </w:numPr>
        <w:rPr>
          <w:rFonts w:cs="Arial"/>
        </w:rPr>
      </w:pPr>
    </w:p>
    <w:p w14:paraId="42A55F0F" w14:textId="439DFDA5" w:rsidR="007D22E5" w:rsidRPr="00736486" w:rsidRDefault="007D22E5" w:rsidP="00A33D71">
      <w:pPr>
        <w:pStyle w:val="Heading2"/>
      </w:pPr>
      <w:bookmarkStart w:id="30" w:name="_Toc131021897"/>
      <w:r w:rsidRPr="00736486">
        <w:t>Chang</w:t>
      </w:r>
      <w:r w:rsidR="00DF582F">
        <w:t>ing</w:t>
      </w:r>
      <w:r w:rsidRPr="00736486">
        <w:t xml:space="preserve"> </w:t>
      </w:r>
      <w:r w:rsidR="005A3E20" w:rsidRPr="00736486">
        <w:t>the m</w:t>
      </w:r>
      <w:r w:rsidRPr="00736486">
        <w:t xml:space="preserve">easurement of </w:t>
      </w:r>
      <w:r w:rsidR="005A3E20" w:rsidRPr="00736486">
        <w:t xml:space="preserve">the </w:t>
      </w:r>
      <w:r w:rsidR="00DF582F">
        <w:t xml:space="preserve">growth in the </w:t>
      </w:r>
      <w:r w:rsidR="00A33D71">
        <w:t>cultur</w:t>
      </w:r>
      <w:r w:rsidR="00DF582F">
        <w:t>e</w:t>
      </w:r>
      <w:r w:rsidR="00A33D71">
        <w:t xml:space="preserve"> economy </w:t>
      </w:r>
      <w:r w:rsidR="005A3E20" w:rsidRPr="00736486">
        <w:t xml:space="preserve">indicator </w:t>
      </w:r>
      <w:r w:rsidR="00DF582F">
        <w:t xml:space="preserve">from nominal </w:t>
      </w:r>
      <w:r w:rsidR="005A3E20" w:rsidRPr="00736486">
        <w:t xml:space="preserve">to real </w:t>
      </w:r>
      <w:bookmarkEnd w:id="30"/>
      <w:r w:rsidR="00DF582F">
        <w:t>values</w:t>
      </w:r>
    </w:p>
    <w:p w14:paraId="6E6B85B8" w14:textId="207D7099" w:rsidR="007D22E5" w:rsidRDefault="007D22E5" w:rsidP="00E13B12">
      <w:pPr>
        <w:rPr>
          <w:rFonts w:cs="Arial"/>
          <w:u w:val="single"/>
        </w:rPr>
      </w:pPr>
    </w:p>
    <w:p w14:paraId="07556870" w14:textId="605DE738" w:rsidR="00A33D71" w:rsidRPr="007029A5" w:rsidRDefault="00DF582F" w:rsidP="00E13B12">
      <w:pPr>
        <w:rPr>
          <w:rFonts w:cs="Arial"/>
          <w:b/>
          <w:bCs/>
        </w:rPr>
      </w:pPr>
      <w:r w:rsidRPr="007029A5">
        <w:rPr>
          <w:rFonts w:cs="Arial"/>
          <w:b/>
          <w:bCs/>
        </w:rPr>
        <w:t>Change made</w:t>
      </w:r>
    </w:p>
    <w:p w14:paraId="3FAB528A" w14:textId="77777777" w:rsidR="00A33D71" w:rsidRPr="004731BC" w:rsidRDefault="00A33D71" w:rsidP="00E13B12">
      <w:pPr>
        <w:rPr>
          <w:rFonts w:cs="Arial"/>
          <w:u w:val="single"/>
        </w:rPr>
      </w:pPr>
    </w:p>
    <w:p w14:paraId="59A5E9D4" w14:textId="22EE7DA1" w:rsidR="007D22E5" w:rsidRPr="004731BC" w:rsidRDefault="007D22E5" w:rsidP="00885CE8">
      <w:r w:rsidRPr="004731BC">
        <w:t>The ‘</w:t>
      </w:r>
      <w:r w:rsidR="0056627D" w:rsidRPr="004731BC">
        <w:t xml:space="preserve">Growth in the arts, culture and creative economy’ </w:t>
      </w:r>
      <w:r w:rsidRPr="004731BC">
        <w:t xml:space="preserve">indicator </w:t>
      </w:r>
      <w:r w:rsidR="006253F0" w:rsidRPr="004731BC">
        <w:t xml:space="preserve">was previously </w:t>
      </w:r>
      <w:r w:rsidRPr="004731BC">
        <w:rPr>
          <w:color w:val="000000"/>
        </w:rPr>
        <w:t xml:space="preserve">measured by approximate </w:t>
      </w:r>
      <w:r w:rsidR="00DF582F">
        <w:rPr>
          <w:color w:val="000000"/>
        </w:rPr>
        <w:t>gross value added (</w:t>
      </w:r>
      <w:r w:rsidR="005A3E20" w:rsidRPr="004731BC">
        <w:rPr>
          <w:color w:val="000000"/>
        </w:rPr>
        <w:t>GVA</w:t>
      </w:r>
      <w:r w:rsidR="00DF582F">
        <w:rPr>
          <w:color w:val="000000"/>
        </w:rPr>
        <w:t>)</w:t>
      </w:r>
      <w:r w:rsidRPr="004731BC">
        <w:t xml:space="preserve"> in current prices, and</w:t>
      </w:r>
      <w:r w:rsidR="005A3E20" w:rsidRPr="004731BC">
        <w:t xml:space="preserve"> therefore</w:t>
      </w:r>
      <w:r w:rsidRPr="004731BC">
        <w:t xml:space="preserve"> d</w:t>
      </w:r>
      <w:r w:rsidR="00DF582F">
        <w:t>id</w:t>
      </w:r>
      <w:r w:rsidRPr="004731BC">
        <w:t xml:space="preserve"> not account for changes in the price level</w:t>
      </w:r>
      <w:r w:rsidR="005A3E20" w:rsidRPr="004731BC">
        <w:t xml:space="preserve"> (inflation)</w:t>
      </w:r>
      <w:r w:rsidRPr="004731BC">
        <w:t xml:space="preserve">. </w:t>
      </w:r>
      <w:r w:rsidR="005A3E20" w:rsidRPr="004731BC">
        <w:t>To</w:t>
      </w:r>
      <w:r w:rsidRPr="004731BC">
        <w:t xml:space="preserve"> </w:t>
      </w:r>
      <w:r w:rsidR="005A3E20" w:rsidRPr="004731BC">
        <w:t>a</w:t>
      </w:r>
      <w:r w:rsidRPr="004731BC">
        <w:t xml:space="preserve">ccount for inflation and </w:t>
      </w:r>
      <w:r w:rsidR="005A3E20" w:rsidRPr="004731BC">
        <w:t>more robustly track</w:t>
      </w:r>
      <w:r w:rsidRPr="004731BC">
        <w:t xml:space="preserve"> change</w:t>
      </w:r>
      <w:r w:rsidR="005A3E20" w:rsidRPr="004731BC">
        <w:t xml:space="preserve"> over time,</w:t>
      </w:r>
      <w:r w:rsidR="00DF582F">
        <w:t xml:space="preserve"> GVA growth is now </w:t>
      </w:r>
      <w:r w:rsidR="005A3E20" w:rsidRPr="004731BC">
        <w:t>measured in real terms</w:t>
      </w:r>
      <w:r w:rsidRPr="004731BC">
        <w:t xml:space="preserve">. </w:t>
      </w:r>
    </w:p>
    <w:p w14:paraId="3D9ED3AC" w14:textId="112B3EB6" w:rsidR="00A33D71" w:rsidRPr="004731BC" w:rsidRDefault="00A33D71" w:rsidP="00885CE8"/>
    <w:p w14:paraId="43117BB2" w14:textId="0261A1FD" w:rsidR="00A33D71" w:rsidRPr="007029A5" w:rsidRDefault="00A33D71" w:rsidP="00885CE8">
      <w:pPr>
        <w:rPr>
          <w:rFonts w:cs="Arial"/>
          <w:b/>
          <w:bCs/>
        </w:rPr>
      </w:pPr>
      <w:r w:rsidRPr="007029A5">
        <w:rPr>
          <w:rFonts w:cs="Arial"/>
          <w:b/>
          <w:bCs/>
        </w:rPr>
        <w:t xml:space="preserve">Impact </w:t>
      </w:r>
    </w:p>
    <w:p w14:paraId="5383C0D6" w14:textId="0089B267" w:rsidR="00A33D71" w:rsidRDefault="00A33D71" w:rsidP="00885CE8">
      <w:pPr>
        <w:rPr>
          <w:b/>
          <w:bCs/>
          <w:u w:val="single"/>
        </w:rPr>
      </w:pPr>
    </w:p>
    <w:p w14:paraId="3D8DD908" w14:textId="33DF984A" w:rsidR="00A33D71" w:rsidRPr="00A33D71" w:rsidRDefault="009510F1" w:rsidP="009510F1">
      <w:r>
        <w:lastRenderedPageBreak/>
        <w:t>The impact of this change</w:t>
      </w:r>
      <w:r w:rsidR="00EC0A3C">
        <w:t xml:space="preserve"> decreases the sector’s GVA growth over time</w:t>
      </w:r>
      <w:r>
        <w:t xml:space="preserve"> </w:t>
      </w:r>
      <w:r w:rsidR="00EC0A3C">
        <w:t>as</w:t>
      </w:r>
      <w:r>
        <w:t xml:space="preserve"> inflation is now adjusted for when assessing changes</w:t>
      </w:r>
      <w:r w:rsidR="00EC0A3C">
        <w:t>,</w:t>
      </w:r>
      <w:r w:rsidR="00D3369B">
        <w:t xml:space="preserve"> </w:t>
      </w:r>
      <w:r>
        <w:t xml:space="preserve">meaning it better tracks real change in the sector’s economy. </w:t>
      </w:r>
    </w:p>
    <w:p w14:paraId="360EDC0C" w14:textId="77777777" w:rsidR="00580B5F" w:rsidRPr="00736486" w:rsidRDefault="00580B5F" w:rsidP="00496100">
      <w:pPr>
        <w:rPr>
          <w:rFonts w:cs="Arial"/>
        </w:rPr>
      </w:pPr>
    </w:p>
    <w:p w14:paraId="4DBA5C39" w14:textId="77777777" w:rsidR="005A3E20" w:rsidRPr="00736486" w:rsidRDefault="005A3E20" w:rsidP="00A33D71">
      <w:pPr>
        <w:pStyle w:val="Heading2"/>
      </w:pPr>
      <w:bookmarkStart w:id="31" w:name="_Toc131021898"/>
      <w:r w:rsidRPr="00736486">
        <w:t>Revise the ‘criteria for change’ for both indicators</w:t>
      </w:r>
      <w:bookmarkEnd w:id="31"/>
    </w:p>
    <w:p w14:paraId="5D664424" w14:textId="77777777" w:rsidR="005A3E20" w:rsidRPr="00736486" w:rsidRDefault="005A3E20" w:rsidP="00736486">
      <w:pPr>
        <w:pStyle w:val="ListParagraph"/>
        <w:ind w:left="360"/>
        <w:rPr>
          <w:rFonts w:cs="Arial"/>
        </w:rPr>
      </w:pPr>
    </w:p>
    <w:p w14:paraId="3FC7332E" w14:textId="77777777" w:rsidR="00DF582F" w:rsidRPr="007029A5" w:rsidRDefault="00DF582F" w:rsidP="00885CE8">
      <w:pPr>
        <w:rPr>
          <w:b/>
          <w:bCs/>
        </w:rPr>
      </w:pPr>
      <w:r w:rsidRPr="007029A5">
        <w:rPr>
          <w:b/>
          <w:bCs/>
        </w:rPr>
        <w:t>Changes made</w:t>
      </w:r>
    </w:p>
    <w:p w14:paraId="24AD4E43" w14:textId="77777777" w:rsidR="00DF582F" w:rsidRDefault="00DF582F" w:rsidP="00885CE8"/>
    <w:p w14:paraId="04AC47CA" w14:textId="5C56A6BB" w:rsidR="00426BDC" w:rsidRDefault="005A3E20" w:rsidP="00885CE8">
      <w:r w:rsidRPr="00736486">
        <w:t>The changes above necessitate</w:t>
      </w:r>
      <w:r w:rsidR="00DF582F">
        <w:t>d</w:t>
      </w:r>
      <w:r w:rsidRPr="00736486">
        <w:t xml:space="preserve"> a revision to </w:t>
      </w:r>
      <w:r w:rsidR="007D22E5" w:rsidRPr="00736486">
        <w:t xml:space="preserve">the </w:t>
      </w:r>
      <w:r w:rsidR="00B3049D" w:rsidRPr="00736486">
        <w:t>criteria</w:t>
      </w:r>
      <w:r w:rsidRPr="00736486">
        <w:t xml:space="preserve"> for change</w:t>
      </w:r>
      <w:r w:rsidR="007D22E5" w:rsidRPr="00736486">
        <w:t xml:space="preserve"> used to </w:t>
      </w:r>
      <w:r w:rsidRPr="00736486">
        <w:t xml:space="preserve">track the performance </w:t>
      </w:r>
      <w:r w:rsidR="007D22E5" w:rsidRPr="00736486">
        <w:t>of each indicator</w:t>
      </w:r>
      <w:r w:rsidR="00B3049D" w:rsidRPr="00736486">
        <w:t>.</w:t>
      </w:r>
      <w:r w:rsidR="00295D3D" w:rsidRPr="00736486">
        <w:t xml:space="preserve"> </w:t>
      </w:r>
      <w:r w:rsidR="00DF582F">
        <w:t xml:space="preserve">Scottish Government </w:t>
      </w:r>
      <w:r w:rsidR="00D111FA">
        <w:t>analysts</w:t>
      </w:r>
      <w:r w:rsidR="00D111FA" w:rsidRPr="00736486">
        <w:t xml:space="preserve"> </w:t>
      </w:r>
      <w:r w:rsidR="00426BDC" w:rsidRPr="00736486">
        <w:t>sought the views of the Measuring Change stakeholder group and NPFTAG on the appropriate criteria for change for each indicator. The</w:t>
      </w:r>
      <w:r w:rsidR="00DC2083">
        <w:t xml:space="preserve">se </w:t>
      </w:r>
      <w:r w:rsidR="00426BDC" w:rsidRPr="00736486">
        <w:t>changes are set out below</w:t>
      </w:r>
      <w:r w:rsidR="00DC2083">
        <w:t>:</w:t>
      </w:r>
    </w:p>
    <w:p w14:paraId="7AD98B6C" w14:textId="06C6B123" w:rsidR="00A33D71" w:rsidRDefault="00A33D71" w:rsidP="00885CE8"/>
    <w:p w14:paraId="0F864BC8" w14:textId="346490A9" w:rsidR="00A33D71" w:rsidRPr="004731BC" w:rsidRDefault="004D57E1" w:rsidP="00885CE8">
      <w:pPr>
        <w:rPr>
          <w:u w:val="single"/>
        </w:rPr>
      </w:pPr>
      <w:r>
        <w:rPr>
          <w:u w:val="single"/>
        </w:rPr>
        <w:t>New</w:t>
      </w:r>
      <w:r w:rsidR="00A33D71" w:rsidRPr="004731BC">
        <w:rPr>
          <w:u w:val="single"/>
        </w:rPr>
        <w:t xml:space="preserve"> performance criteria for the cultural workforce indicator</w:t>
      </w:r>
    </w:p>
    <w:p w14:paraId="60720784" w14:textId="74817FAE" w:rsidR="005A3E20" w:rsidRPr="004731BC" w:rsidRDefault="005A3E20" w:rsidP="00885CE8"/>
    <w:p w14:paraId="3897E121" w14:textId="77777777" w:rsidR="00F8058A" w:rsidRDefault="00535BD4" w:rsidP="00F8058A">
      <w:pPr>
        <w:rPr>
          <w:szCs w:val="24"/>
        </w:rPr>
      </w:pPr>
      <w:r w:rsidRPr="004731BC">
        <w:t>T</w:t>
      </w:r>
      <w:r w:rsidR="005A3E20" w:rsidRPr="004731BC">
        <w:t>he</w:t>
      </w:r>
      <w:r w:rsidRPr="004731BC">
        <w:t xml:space="preserve"> </w:t>
      </w:r>
      <w:r w:rsidR="00746DBC" w:rsidRPr="004731BC">
        <w:t>previous</w:t>
      </w:r>
      <w:r w:rsidRPr="004731BC">
        <w:t xml:space="preserve"> criteria for change for</w:t>
      </w:r>
      <w:r w:rsidR="005A3E20" w:rsidRPr="004731BC">
        <w:t xml:space="preserve"> </w:t>
      </w:r>
      <w:r w:rsidRPr="004731BC">
        <w:t>the ‘</w:t>
      </w:r>
      <w:r w:rsidR="0056627D" w:rsidRPr="004731BC">
        <w:t>People working in arts, culture and creative industries’</w:t>
      </w:r>
      <w:r w:rsidRPr="004731BC">
        <w:t xml:space="preserve"> </w:t>
      </w:r>
      <w:r w:rsidR="005A3E20" w:rsidRPr="004731BC">
        <w:t>indicator</w:t>
      </w:r>
      <w:r w:rsidRPr="004731BC">
        <w:t xml:space="preserve"> </w:t>
      </w:r>
      <w:r w:rsidR="00746DBC" w:rsidRPr="004731BC">
        <w:t xml:space="preserve">used </w:t>
      </w:r>
      <w:r w:rsidR="005A3E20" w:rsidRPr="004731BC">
        <w:t>a</w:t>
      </w:r>
      <w:r w:rsidR="00746DBC" w:rsidRPr="004731BC">
        <w:t xml:space="preserve"> fairly</w:t>
      </w:r>
      <w:r w:rsidR="005A3E20" w:rsidRPr="004731BC">
        <w:t xml:space="preserve"> arbitrary figure of +/-1,000 jobs</w:t>
      </w:r>
      <w:r w:rsidRPr="004731BC">
        <w:t xml:space="preserve"> based on the </w:t>
      </w:r>
      <w:r w:rsidR="00746DBC" w:rsidRPr="004731BC">
        <w:t>previous</w:t>
      </w:r>
      <w:r w:rsidRPr="004731BC">
        <w:t xml:space="preserve"> data source, BRES</w:t>
      </w:r>
      <w:r w:rsidR="005A3E20" w:rsidRPr="004731BC">
        <w:t xml:space="preserve">. The </w:t>
      </w:r>
      <w:r w:rsidRPr="004731BC">
        <w:t>new data source, the</w:t>
      </w:r>
      <w:r w:rsidR="005A3E20" w:rsidRPr="004731BC">
        <w:t xml:space="preserve"> APS</w:t>
      </w:r>
      <w:r w:rsidRPr="004731BC">
        <w:t>, has</w:t>
      </w:r>
      <w:r w:rsidR="005A3E20" w:rsidRPr="004731BC">
        <w:t xml:space="preserve"> a larger degree of variability and a higher overall employment level than</w:t>
      </w:r>
      <w:r w:rsidRPr="004731BC">
        <w:t xml:space="preserve"> BRES</w:t>
      </w:r>
      <w:r w:rsidR="005A3E20" w:rsidRPr="004731BC">
        <w:t xml:space="preserve">. </w:t>
      </w:r>
      <w:r w:rsidR="00746DBC" w:rsidRPr="004731BC">
        <w:t xml:space="preserve">Scottish Government </w:t>
      </w:r>
      <w:r w:rsidR="005A3E20" w:rsidRPr="004731BC">
        <w:rPr>
          <w:shd w:val="clear" w:color="auto" w:fill="FFFFFF"/>
        </w:rPr>
        <w:t>analysts</w:t>
      </w:r>
      <w:r w:rsidRPr="004731BC">
        <w:rPr>
          <w:shd w:val="clear" w:color="auto" w:fill="FFFFFF"/>
        </w:rPr>
        <w:t xml:space="preserve"> </w:t>
      </w:r>
      <w:r w:rsidR="005A3E20" w:rsidRPr="004731BC">
        <w:rPr>
          <w:shd w:val="clear" w:color="auto" w:fill="FFFFFF"/>
        </w:rPr>
        <w:t xml:space="preserve">advised that it would be difficult to calculate upper and lower bounds for statistical significance in line with approaches used for the existing APS-based </w:t>
      </w:r>
      <w:r w:rsidRPr="004731BC">
        <w:rPr>
          <w:shd w:val="clear" w:color="auto" w:fill="FFFFFF"/>
        </w:rPr>
        <w:t>n</w:t>
      </w:r>
      <w:r w:rsidR="005A3E20" w:rsidRPr="004731BC">
        <w:rPr>
          <w:shd w:val="clear" w:color="auto" w:fill="FFFFFF"/>
        </w:rPr>
        <w:t xml:space="preserve">ational </w:t>
      </w:r>
      <w:r w:rsidRPr="004731BC">
        <w:rPr>
          <w:shd w:val="clear" w:color="auto" w:fill="FFFFFF"/>
        </w:rPr>
        <w:t>i</w:t>
      </w:r>
      <w:r w:rsidR="005A3E20" w:rsidRPr="004731BC">
        <w:rPr>
          <w:shd w:val="clear" w:color="auto" w:fill="FFFFFF"/>
        </w:rPr>
        <w:t>ndicators. It may be possible to refine the methodology in future</w:t>
      </w:r>
      <w:r w:rsidRPr="004731BC">
        <w:rPr>
          <w:shd w:val="clear" w:color="auto" w:fill="FFFFFF"/>
        </w:rPr>
        <w:t xml:space="preserve"> </w:t>
      </w:r>
      <w:r w:rsidR="005A3E20" w:rsidRPr="004731BC">
        <w:rPr>
          <w:shd w:val="clear" w:color="auto" w:fill="FFFFFF"/>
        </w:rPr>
        <w:t xml:space="preserve">however, the </w:t>
      </w:r>
      <w:r w:rsidR="00746DBC" w:rsidRPr="004731BC">
        <w:rPr>
          <w:shd w:val="clear" w:color="auto" w:fill="FFFFFF"/>
        </w:rPr>
        <w:t>new</w:t>
      </w:r>
      <w:r w:rsidRPr="004731BC">
        <w:rPr>
          <w:shd w:val="clear" w:color="auto" w:fill="FFFFFF"/>
        </w:rPr>
        <w:t xml:space="preserve"> criteria</w:t>
      </w:r>
      <w:r w:rsidR="005A3E20" w:rsidRPr="004731BC">
        <w:rPr>
          <w:shd w:val="clear" w:color="auto" w:fill="FFFFFF"/>
        </w:rPr>
        <w:t xml:space="preserve"> for</w:t>
      </w:r>
      <w:r w:rsidR="005A3E20" w:rsidRPr="004731BC">
        <w:rPr>
          <w:szCs w:val="24"/>
        </w:rPr>
        <w:t xml:space="preserve"> change </w:t>
      </w:r>
      <w:r w:rsidR="00746DBC" w:rsidRPr="004731BC">
        <w:rPr>
          <w:szCs w:val="24"/>
        </w:rPr>
        <w:t xml:space="preserve">is based </w:t>
      </w:r>
      <w:r w:rsidR="005A3E20" w:rsidRPr="004731BC">
        <w:rPr>
          <w:szCs w:val="24"/>
        </w:rPr>
        <w:t>on movements of +/-10,000 in annual employment (including both employment and self-employment). This would be roughly in</w:t>
      </w:r>
      <w:r w:rsidRPr="004731BC">
        <w:rPr>
          <w:szCs w:val="24"/>
        </w:rPr>
        <w:t>-</w:t>
      </w:r>
      <w:r w:rsidR="005A3E20" w:rsidRPr="004731BC">
        <w:rPr>
          <w:szCs w:val="24"/>
        </w:rPr>
        <w:t>line with experimental confidence limits and significance testing for each year and would allow for growth in the sector over the coming years.</w:t>
      </w:r>
      <w:r w:rsidR="00F8058A">
        <w:rPr>
          <w:szCs w:val="24"/>
        </w:rPr>
        <w:t xml:space="preserve"> </w:t>
      </w:r>
    </w:p>
    <w:p w14:paraId="4FFE68DB" w14:textId="417CB779" w:rsidR="005A3E20" w:rsidRPr="004731BC" w:rsidRDefault="005A3E20" w:rsidP="00885CE8"/>
    <w:p w14:paraId="14C6AC85" w14:textId="5A4ADDBE" w:rsidR="00A33D71" w:rsidRPr="004731BC" w:rsidRDefault="004D57E1" w:rsidP="00A33D71">
      <w:pPr>
        <w:rPr>
          <w:u w:val="single"/>
        </w:rPr>
      </w:pPr>
      <w:r>
        <w:rPr>
          <w:u w:val="single"/>
        </w:rPr>
        <w:t xml:space="preserve">New </w:t>
      </w:r>
      <w:r w:rsidR="00A33D71" w:rsidRPr="004731BC">
        <w:rPr>
          <w:u w:val="single"/>
        </w:rPr>
        <w:t>performance criteria for the culture economy indicator</w:t>
      </w:r>
    </w:p>
    <w:p w14:paraId="1E57ECC2" w14:textId="77777777" w:rsidR="00A33D71" w:rsidRDefault="00A33D71" w:rsidP="00885CE8"/>
    <w:p w14:paraId="6E096934" w14:textId="3BFAAE1F" w:rsidR="005A3E20" w:rsidRPr="00736486" w:rsidRDefault="00535BD4" w:rsidP="00885CE8">
      <w:r w:rsidRPr="00736486">
        <w:t xml:space="preserve">The </w:t>
      </w:r>
      <w:r w:rsidR="00746DBC">
        <w:t>previous</w:t>
      </w:r>
      <w:r w:rsidRPr="00736486">
        <w:t xml:space="preserve"> criteria for change </w:t>
      </w:r>
      <w:r w:rsidR="005A3E20" w:rsidRPr="00736486">
        <w:t xml:space="preserve">for the </w:t>
      </w:r>
      <w:r w:rsidRPr="00736486">
        <w:t>‘</w:t>
      </w:r>
      <w:r w:rsidR="0056627D">
        <w:t>G</w:t>
      </w:r>
      <w:r w:rsidR="0056627D" w:rsidRPr="00736486">
        <w:t xml:space="preserve">rowth in the arts, culture and creative economy’ </w:t>
      </w:r>
      <w:r w:rsidR="005A3E20" w:rsidRPr="00736486">
        <w:t xml:space="preserve">indicator, </w:t>
      </w:r>
      <w:r w:rsidR="00DF582F">
        <w:t>wa</w:t>
      </w:r>
      <w:r w:rsidR="005A3E20" w:rsidRPr="00736486">
        <w:t>s +/- 2%</w:t>
      </w:r>
      <w:r w:rsidRPr="00736486">
        <w:t xml:space="preserve"> change in nominal GVA</w:t>
      </w:r>
      <w:r w:rsidR="005A3E20" w:rsidRPr="00736486">
        <w:t xml:space="preserve">, which was in place as a proxy to account for inflation. </w:t>
      </w:r>
      <w:r w:rsidRPr="00736486">
        <w:t>As t</w:t>
      </w:r>
      <w:r w:rsidR="005A3E20" w:rsidRPr="00736486">
        <w:t xml:space="preserve">he </w:t>
      </w:r>
      <w:r w:rsidRPr="00736486">
        <w:t xml:space="preserve">new </w:t>
      </w:r>
      <w:r w:rsidR="005A3E20" w:rsidRPr="00736486">
        <w:t>approach accounts for real terms changes</w:t>
      </w:r>
      <w:r w:rsidRPr="00736486">
        <w:t xml:space="preserve"> in GVA</w:t>
      </w:r>
      <w:r w:rsidR="005A3E20" w:rsidRPr="00736486">
        <w:t xml:space="preserve">, the </w:t>
      </w:r>
      <w:r w:rsidR="00746DBC">
        <w:t>new</w:t>
      </w:r>
      <w:r w:rsidRPr="00736486">
        <w:t xml:space="preserve"> criteria </w:t>
      </w:r>
      <w:r w:rsidR="005A3E20" w:rsidRPr="00736486">
        <w:t xml:space="preserve">for change </w:t>
      </w:r>
      <w:r w:rsidR="00DF582F">
        <w:t xml:space="preserve">is based </w:t>
      </w:r>
      <w:r w:rsidR="005A3E20" w:rsidRPr="00736486">
        <w:t>on movements of  +/-£</w:t>
      </w:r>
      <w:proofErr w:type="spellStart"/>
      <w:r w:rsidR="005A3E20" w:rsidRPr="00736486">
        <w:t>100m</w:t>
      </w:r>
      <w:proofErr w:type="spellEnd"/>
      <w:r w:rsidR="005A3E20" w:rsidRPr="00736486">
        <w:t xml:space="preserve"> in annual real GVA. </w:t>
      </w:r>
      <w:r w:rsidRPr="00736486">
        <w:t>In the last few years, t</w:t>
      </w:r>
      <w:r w:rsidR="005A3E20" w:rsidRPr="00736486">
        <w:t xml:space="preserve">his is equivalent </w:t>
      </w:r>
      <w:r w:rsidRPr="00736486">
        <w:t>to</w:t>
      </w:r>
      <w:r w:rsidR="005A3E20" w:rsidRPr="00736486">
        <w:t xml:space="preserve"> an approximate +/-2% change so is consistent with the </w:t>
      </w:r>
      <w:r w:rsidR="00DC2083">
        <w:t>previous</w:t>
      </w:r>
      <w:r w:rsidR="005A3E20" w:rsidRPr="00736486">
        <w:t xml:space="preserve"> method and simpler to interpret.</w:t>
      </w:r>
    </w:p>
    <w:p w14:paraId="4E1DCED8" w14:textId="2CD0A014" w:rsidR="00ED762C" w:rsidRPr="007029A5" w:rsidRDefault="00ED762C" w:rsidP="00ED762C">
      <w:pPr>
        <w:tabs>
          <w:tab w:val="left" w:pos="720"/>
          <w:tab w:val="left" w:pos="1440"/>
          <w:tab w:val="left" w:pos="2160"/>
          <w:tab w:val="left" w:pos="2880"/>
          <w:tab w:val="left" w:pos="4680"/>
          <w:tab w:val="left" w:pos="5400"/>
          <w:tab w:val="right" w:pos="9000"/>
        </w:tabs>
        <w:spacing w:line="240" w:lineRule="atLeast"/>
        <w:jc w:val="both"/>
        <w:rPr>
          <w:rFonts w:cs="Arial"/>
          <w:b/>
          <w:bCs/>
        </w:rPr>
      </w:pPr>
      <w:bookmarkStart w:id="32" w:name="Note7"/>
      <w:bookmarkEnd w:id="32"/>
    </w:p>
    <w:p w14:paraId="64EDA8F1" w14:textId="0529B2A5" w:rsidR="00885CE8" w:rsidRPr="007029A5" w:rsidRDefault="00885CE8" w:rsidP="00885CE8">
      <w:pPr>
        <w:rPr>
          <w:rFonts w:cs="Arial"/>
          <w:b/>
          <w:bCs/>
        </w:rPr>
      </w:pPr>
      <w:r w:rsidRPr="007029A5">
        <w:rPr>
          <w:rFonts w:cs="Arial"/>
          <w:b/>
          <w:bCs/>
        </w:rPr>
        <w:t xml:space="preserve">Impact </w:t>
      </w:r>
    </w:p>
    <w:p w14:paraId="108F4BB9" w14:textId="14A39562" w:rsidR="00885CE8" w:rsidRPr="004731BC" w:rsidRDefault="00885CE8" w:rsidP="00885CE8">
      <w:pPr>
        <w:rPr>
          <w:rFonts w:cs="Arial"/>
        </w:rPr>
      </w:pPr>
    </w:p>
    <w:p w14:paraId="58EE7C02" w14:textId="4BCC65CE" w:rsidR="008B0FCC" w:rsidRDefault="00F8058A" w:rsidP="008B0FCC">
      <w:r>
        <w:t xml:space="preserve">A retrospective assessment of performance under the new criteria for the workforce indicator indicates that, </w:t>
      </w:r>
      <w:r w:rsidR="008C282E">
        <w:t>between 2009 - 202</w:t>
      </w:r>
      <w:r w:rsidR="00D31D93">
        <w:t>1</w:t>
      </w:r>
      <w:r>
        <w:t>, there would have been</w:t>
      </w:r>
      <w:r w:rsidR="002E4312">
        <w:t xml:space="preserve"> four</w:t>
      </w:r>
      <w:r>
        <w:t xml:space="preserve"> instances of ‘performance improving’ and </w:t>
      </w:r>
      <w:r w:rsidR="008C282E">
        <w:t>eight</w:t>
      </w:r>
      <w:r w:rsidR="002E4312">
        <w:t xml:space="preserve"> </w:t>
      </w:r>
      <w:r>
        <w:t xml:space="preserve">instances of ‘performance maintaining’. </w:t>
      </w:r>
      <w:r w:rsidR="008B0FCC">
        <w:t>For illustrative purposes, u</w:t>
      </w:r>
      <w:r>
        <w:t xml:space="preserve">nder the previous method, there </w:t>
      </w:r>
      <w:r w:rsidR="002E4312">
        <w:t>were six</w:t>
      </w:r>
      <w:r>
        <w:t xml:space="preserve"> instances of ‘performance improving’,</w:t>
      </w:r>
      <w:r w:rsidR="008B0FCC">
        <w:t xml:space="preserve"> </w:t>
      </w:r>
      <w:r w:rsidR="002E4312">
        <w:t xml:space="preserve">one </w:t>
      </w:r>
      <w:r>
        <w:t xml:space="preserve">instance of ‘performance maintaining’ and </w:t>
      </w:r>
      <w:r w:rsidR="002E4312">
        <w:t xml:space="preserve">five </w:t>
      </w:r>
      <w:r>
        <w:t>instances of ‘performance worsening’</w:t>
      </w:r>
      <w:r w:rsidR="008B0FCC">
        <w:t xml:space="preserve">, however these approaches are not directly comparable given difference in data source. </w:t>
      </w:r>
      <w:r w:rsidR="008B0FCC" w:rsidRPr="000B4511">
        <w:t xml:space="preserve">The advantage of </w:t>
      </w:r>
      <w:r w:rsidR="008B0FCC">
        <w:t>using the new approach is that thresholds are set at a level that accounts for a large degree of variability in the data to help to more robustly assess annual performance of the indicator</w:t>
      </w:r>
      <w:r w:rsidR="008B0FCC" w:rsidRPr="000B4511">
        <w:t>.</w:t>
      </w:r>
      <w:r w:rsidR="008B0FCC">
        <w:t xml:space="preserve"> </w:t>
      </w:r>
    </w:p>
    <w:p w14:paraId="14860B0B" w14:textId="7562620F" w:rsidR="008B0FCC" w:rsidRDefault="008B0FCC" w:rsidP="008B0FCC"/>
    <w:p w14:paraId="06032006" w14:textId="38AE2266" w:rsidR="008B0FCC" w:rsidRDefault="008B0FCC" w:rsidP="008B0FCC">
      <w:r>
        <w:t xml:space="preserve">A retrospective assessment of performance under the new criteria for the growth indicator indicates that, since 2008, there would have been </w:t>
      </w:r>
      <w:r w:rsidR="002E4312">
        <w:t xml:space="preserve">four </w:t>
      </w:r>
      <w:r>
        <w:t xml:space="preserve">instances of </w:t>
      </w:r>
      <w:r>
        <w:lastRenderedPageBreak/>
        <w:t xml:space="preserve">‘performance improving’, </w:t>
      </w:r>
      <w:r w:rsidR="002E4312">
        <w:t xml:space="preserve">three </w:t>
      </w:r>
      <w:r>
        <w:t xml:space="preserve">instances of ‘performance maintaining’ and </w:t>
      </w:r>
      <w:r w:rsidR="002E4312">
        <w:t xml:space="preserve">five </w:t>
      </w:r>
      <w:r>
        <w:t>instances of ‘performance worsening’.</w:t>
      </w:r>
      <w:r w:rsidR="00A6618F">
        <w:t xml:space="preserve"> Under the previous method, there </w:t>
      </w:r>
      <w:r w:rsidR="002E4312">
        <w:t>were eight</w:t>
      </w:r>
      <w:r w:rsidR="00A6618F">
        <w:t xml:space="preserve"> instances of ‘performance improving’, </w:t>
      </w:r>
      <w:r w:rsidR="002E4312">
        <w:t xml:space="preserve">one </w:t>
      </w:r>
      <w:r w:rsidR="00A6618F">
        <w:t xml:space="preserve">instance of ‘performance maintaining’ and </w:t>
      </w:r>
      <w:r w:rsidR="002E4312">
        <w:t xml:space="preserve">three </w:t>
      </w:r>
      <w:r w:rsidR="00A6618F">
        <w:t xml:space="preserve">instances of ‘performance worsening </w:t>
      </w:r>
      <w:r w:rsidR="00DE0C1B">
        <w:t>.</w:t>
      </w:r>
      <w:r>
        <w:t>The advantage of th</w:t>
      </w:r>
      <w:r w:rsidR="00F227B5">
        <w:t>e new approach</w:t>
      </w:r>
      <w:r>
        <w:t xml:space="preserve"> is that inflation is now</w:t>
      </w:r>
      <w:r w:rsidR="00DE0C1B">
        <w:t xml:space="preserve"> fully</w:t>
      </w:r>
      <w:r>
        <w:t xml:space="preserve"> adjusted for when assessing </w:t>
      </w:r>
      <w:r w:rsidR="00F227B5">
        <w:t>performance</w:t>
      </w:r>
      <w:r>
        <w:t xml:space="preserve"> over time</w:t>
      </w:r>
      <w:r w:rsidR="00F227B5">
        <w:t xml:space="preserve"> so is a better assessment of </w:t>
      </w:r>
      <w:r>
        <w:t xml:space="preserve">real change in the sector’s </w:t>
      </w:r>
      <w:r w:rsidR="00F227B5">
        <w:t xml:space="preserve">impact on the </w:t>
      </w:r>
      <w:r>
        <w:t xml:space="preserve">economy. </w:t>
      </w:r>
    </w:p>
    <w:p w14:paraId="6A9DCE37" w14:textId="01FCF4F8" w:rsidR="00AD5765" w:rsidRDefault="00AD5765">
      <w:r>
        <w:br w:type="page"/>
      </w:r>
    </w:p>
    <w:p w14:paraId="604E6C83" w14:textId="77777777" w:rsidR="00AD5765" w:rsidRDefault="00AD5765" w:rsidP="008B0FCC"/>
    <w:p w14:paraId="584CB266" w14:textId="77777777" w:rsidR="00AD5765" w:rsidRPr="00885CE8" w:rsidRDefault="00AD5765" w:rsidP="00AD5765">
      <w:pPr>
        <w:pStyle w:val="Heading1"/>
      </w:pPr>
      <w:bookmarkStart w:id="33" w:name="_Toc131021899"/>
      <w:r w:rsidRPr="00885CE8">
        <w:t>Acknowledgements</w:t>
      </w:r>
      <w:bookmarkEnd w:id="33"/>
      <w:r w:rsidRPr="00885CE8">
        <w:t xml:space="preserve"> </w:t>
      </w:r>
    </w:p>
    <w:p w14:paraId="1164C6AE" w14:textId="77777777" w:rsidR="00AD5765" w:rsidRDefault="00AD5765" w:rsidP="00AD5765"/>
    <w:p w14:paraId="6226B50F" w14:textId="77777777" w:rsidR="00AD5765" w:rsidRDefault="00AD5765" w:rsidP="00AD5765">
      <w:r>
        <w:t xml:space="preserve">The authors take full responsibility for the content of this report and the changes that were made to each indicator, but gratefully acknowledge the contribution of a wide range of people who have provided support and guidance throughout. Special thanks go to the members of the National Partnership for Culture’s Measuring Change Group and </w:t>
      </w:r>
      <w:r w:rsidRPr="00736486">
        <w:rPr>
          <w:rFonts w:cs="Arial"/>
          <w:color w:val="000000"/>
        </w:rPr>
        <w:t>Scottish Culture Evidence Network</w:t>
      </w:r>
      <w:r w:rsidRPr="00736486">
        <w:rPr>
          <w:rFonts w:cs="Arial"/>
        </w:rPr>
        <w:t xml:space="preserve"> (</w:t>
      </w:r>
      <w:proofErr w:type="spellStart"/>
      <w:r w:rsidRPr="00736486">
        <w:rPr>
          <w:rFonts w:cs="Arial"/>
        </w:rPr>
        <w:t>SCENe</w:t>
      </w:r>
      <w:proofErr w:type="spellEnd"/>
      <w:r w:rsidRPr="00736486">
        <w:rPr>
          <w:rFonts w:cs="Arial"/>
        </w:rPr>
        <w:t xml:space="preserve">) </w:t>
      </w:r>
      <w:r>
        <w:t>who provided advice and expertise in helping to develop these indicators.</w:t>
      </w:r>
    </w:p>
    <w:p w14:paraId="00FF2C22" w14:textId="77777777" w:rsidR="00AD5765" w:rsidRPr="00A33D71" w:rsidRDefault="00AD5765" w:rsidP="008B0FCC"/>
    <w:p w14:paraId="5A58DB13" w14:textId="69EBD863" w:rsidR="008B0FCC" w:rsidRPr="00F8058A" w:rsidRDefault="008B0FCC" w:rsidP="008B0FCC">
      <w:pPr>
        <w:rPr>
          <w:rFonts w:cs="Arial"/>
        </w:rPr>
      </w:pPr>
      <w:r>
        <w:t xml:space="preserve"> </w:t>
      </w:r>
    </w:p>
    <w:p w14:paraId="5A99DE6E" w14:textId="50183B7B" w:rsidR="00885CE8" w:rsidRPr="004731BC" w:rsidRDefault="00885CE8" w:rsidP="00ED762C">
      <w:pPr>
        <w:tabs>
          <w:tab w:val="left" w:pos="720"/>
          <w:tab w:val="left" w:pos="1440"/>
          <w:tab w:val="left" w:pos="2160"/>
          <w:tab w:val="left" w:pos="2880"/>
          <w:tab w:val="left" w:pos="4680"/>
          <w:tab w:val="left" w:pos="5400"/>
          <w:tab w:val="right" w:pos="9000"/>
        </w:tabs>
        <w:spacing w:line="240" w:lineRule="atLeast"/>
        <w:jc w:val="both"/>
        <w:rPr>
          <w:rFonts w:cs="Arial"/>
        </w:rPr>
      </w:pPr>
    </w:p>
    <w:p w14:paraId="43C52798" w14:textId="77777777" w:rsidR="00295D3D" w:rsidRPr="004731BC" w:rsidRDefault="00295D3D" w:rsidP="00295D3D">
      <w:pPr>
        <w:rPr>
          <w:rFonts w:cs="Arial"/>
        </w:rPr>
      </w:pPr>
    </w:p>
    <w:p w14:paraId="30F28D5C" w14:textId="1E513FF6" w:rsidR="00E5072D" w:rsidRPr="00736486" w:rsidRDefault="00E5072D" w:rsidP="00736486">
      <w:pPr>
        <w:tabs>
          <w:tab w:val="left" w:pos="7088"/>
        </w:tabs>
        <w:rPr>
          <w:rFonts w:cs="Arial"/>
        </w:rPr>
      </w:pPr>
      <w:r w:rsidRPr="00736486">
        <w:rPr>
          <w:rFonts w:cs="Arial"/>
        </w:rPr>
        <w:br w:type="page"/>
      </w:r>
    </w:p>
    <w:p w14:paraId="1D2125D4" w14:textId="088AB1E2" w:rsidR="00EF5A25" w:rsidRPr="00736486" w:rsidRDefault="00EF5A25" w:rsidP="00EF5A25">
      <w:pPr>
        <w:rPr>
          <w:rFonts w:cs="Arial"/>
          <w:b/>
        </w:rPr>
      </w:pPr>
      <w:r w:rsidRPr="00736486">
        <w:rPr>
          <w:rFonts w:cs="Arial"/>
          <w:b/>
        </w:rPr>
        <w:lastRenderedPageBreak/>
        <w:t xml:space="preserve">Annex </w:t>
      </w:r>
      <w:r w:rsidR="00C82744">
        <w:rPr>
          <w:rFonts w:cs="Arial"/>
          <w:b/>
        </w:rPr>
        <w:t>A</w:t>
      </w:r>
      <w:r w:rsidRPr="00736486">
        <w:rPr>
          <w:rFonts w:cs="Arial"/>
          <w:b/>
        </w:rPr>
        <w:t xml:space="preserve">: </w:t>
      </w:r>
      <w:r w:rsidR="001B0561">
        <w:rPr>
          <w:rFonts w:cs="Arial"/>
          <w:b/>
        </w:rPr>
        <w:t>Previous</w:t>
      </w:r>
      <w:r w:rsidRPr="00736486">
        <w:rPr>
          <w:rFonts w:cs="Arial"/>
          <w:b/>
        </w:rPr>
        <w:t xml:space="preserve"> </w:t>
      </w:r>
      <w:r w:rsidR="004439D5" w:rsidRPr="00736486">
        <w:rPr>
          <w:rFonts w:cs="Arial"/>
          <w:b/>
        </w:rPr>
        <w:t>national indicator p</w:t>
      </w:r>
      <w:r w:rsidRPr="00736486">
        <w:rPr>
          <w:rFonts w:cs="Arial"/>
          <w:b/>
        </w:rPr>
        <w:t xml:space="preserve">erformance </w:t>
      </w:r>
    </w:p>
    <w:p w14:paraId="16F097AB" w14:textId="77777777" w:rsidR="00EF5A25" w:rsidRPr="00736486" w:rsidRDefault="00EF5A25">
      <w:pPr>
        <w:rPr>
          <w:rFonts w:cs="Arial"/>
          <w:b/>
        </w:rPr>
      </w:pPr>
    </w:p>
    <w:p w14:paraId="1ECD23F0" w14:textId="5BCEEFD4" w:rsidR="00351EC2" w:rsidRPr="00736486" w:rsidRDefault="00EF5A25" w:rsidP="00C53777">
      <w:pPr>
        <w:rPr>
          <w:rFonts w:cs="Arial"/>
          <w:b/>
          <w:szCs w:val="24"/>
          <w:u w:val="single"/>
        </w:rPr>
      </w:pPr>
      <w:r w:rsidRPr="00736486">
        <w:rPr>
          <w:rFonts w:cs="Arial"/>
          <w:b/>
          <w:szCs w:val="24"/>
        </w:rPr>
        <w:t>Growth in the</w:t>
      </w:r>
      <w:r w:rsidR="004439D5" w:rsidRPr="00736486">
        <w:rPr>
          <w:rFonts w:cs="Arial"/>
          <w:b/>
          <w:szCs w:val="24"/>
        </w:rPr>
        <w:t xml:space="preserve"> c</w:t>
      </w:r>
      <w:r w:rsidR="00351EC2" w:rsidRPr="00736486">
        <w:rPr>
          <w:rFonts w:cs="Arial"/>
          <w:b/>
          <w:szCs w:val="24"/>
        </w:rPr>
        <w:t xml:space="preserve">ultural </w:t>
      </w:r>
      <w:r w:rsidR="004439D5" w:rsidRPr="00736486">
        <w:rPr>
          <w:rFonts w:cs="Arial"/>
          <w:b/>
          <w:szCs w:val="24"/>
        </w:rPr>
        <w:t>e</w:t>
      </w:r>
      <w:r w:rsidR="00351EC2" w:rsidRPr="00736486">
        <w:rPr>
          <w:rFonts w:cs="Arial"/>
          <w:b/>
          <w:szCs w:val="24"/>
        </w:rPr>
        <w:t>conomy</w:t>
      </w:r>
    </w:p>
    <w:p w14:paraId="76DDDB9F" w14:textId="79CAF571" w:rsidR="00351EC2" w:rsidRPr="00736486" w:rsidRDefault="00351EC2" w:rsidP="00C53777">
      <w:pPr>
        <w:rPr>
          <w:rFonts w:cs="Arial"/>
          <w:b/>
          <w:szCs w:val="24"/>
          <w:u w:val="single"/>
        </w:rPr>
      </w:pPr>
    </w:p>
    <w:p w14:paraId="28595C54" w14:textId="0CA34BC3" w:rsidR="00351EC2" w:rsidRPr="00736486" w:rsidRDefault="003B2948" w:rsidP="00C53777">
      <w:pPr>
        <w:rPr>
          <w:rFonts w:cs="Arial"/>
          <w:color w:val="000000"/>
          <w:szCs w:val="24"/>
          <w:shd w:val="clear" w:color="auto" w:fill="FFFFFF"/>
        </w:rPr>
      </w:pPr>
      <w:r w:rsidRPr="003B2948">
        <w:rPr>
          <w:rFonts w:cs="Arial"/>
          <w:noProof/>
          <w:szCs w:val="24"/>
          <w:lang w:eastAsia="en-GB"/>
        </w:rPr>
        <w:drawing>
          <wp:anchor distT="0" distB="0" distL="114300" distR="114300" simplePos="0" relativeHeight="251664384" behindDoc="0" locked="0" layoutInCell="1" allowOverlap="1" wp14:anchorId="163D89B0" wp14:editId="318311EB">
            <wp:simplePos x="0" y="0"/>
            <wp:positionH relativeFrom="margin">
              <wp:posOffset>3895725</wp:posOffset>
            </wp:positionH>
            <wp:positionV relativeFrom="paragraph">
              <wp:posOffset>13335</wp:posOffset>
            </wp:positionV>
            <wp:extent cx="203835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38350" cy="476250"/>
                    </a:xfrm>
                    <a:prstGeom prst="rect">
                      <a:avLst/>
                    </a:prstGeom>
                  </pic:spPr>
                </pic:pic>
              </a:graphicData>
            </a:graphic>
            <wp14:sizeRelH relativeFrom="margin">
              <wp14:pctWidth>0</wp14:pctWidth>
            </wp14:sizeRelH>
            <wp14:sizeRelV relativeFrom="margin">
              <wp14:pctHeight>0</wp14:pctHeight>
            </wp14:sizeRelV>
          </wp:anchor>
        </w:drawing>
      </w:r>
      <w:r w:rsidR="001B0561">
        <w:rPr>
          <w:rFonts w:cs="Arial"/>
          <w:color w:val="000000"/>
          <w:szCs w:val="24"/>
          <w:shd w:val="clear" w:color="auto" w:fill="FFFFFF"/>
        </w:rPr>
        <w:t>Before changes were made to this indicator, t</w:t>
      </w:r>
      <w:r w:rsidR="00ED0881" w:rsidRPr="00736486">
        <w:rPr>
          <w:rFonts w:cs="Arial"/>
          <w:color w:val="000000"/>
          <w:szCs w:val="24"/>
          <w:shd w:val="clear" w:color="auto" w:fill="FFFFFF"/>
        </w:rPr>
        <w:t xml:space="preserve">he Approximate </w:t>
      </w:r>
      <w:r w:rsidR="00C227DD">
        <w:rPr>
          <w:rFonts w:cs="Arial"/>
          <w:color w:val="000000"/>
          <w:szCs w:val="24"/>
          <w:shd w:val="clear" w:color="auto" w:fill="FFFFFF"/>
        </w:rPr>
        <w:t>g</w:t>
      </w:r>
      <w:r w:rsidR="00ED0881" w:rsidRPr="00736486">
        <w:rPr>
          <w:rFonts w:cs="Arial"/>
          <w:color w:val="000000"/>
          <w:szCs w:val="24"/>
          <w:shd w:val="clear" w:color="auto" w:fill="FFFFFF"/>
        </w:rPr>
        <w:t xml:space="preserve">ross </w:t>
      </w:r>
      <w:r w:rsidR="00C227DD">
        <w:rPr>
          <w:rFonts w:cs="Arial"/>
          <w:color w:val="000000"/>
          <w:szCs w:val="24"/>
          <w:shd w:val="clear" w:color="auto" w:fill="FFFFFF"/>
        </w:rPr>
        <w:t>v</w:t>
      </w:r>
      <w:r w:rsidR="00ED0881" w:rsidRPr="00736486">
        <w:rPr>
          <w:rFonts w:cs="Arial"/>
          <w:color w:val="000000"/>
          <w:szCs w:val="24"/>
          <w:shd w:val="clear" w:color="auto" w:fill="FFFFFF"/>
        </w:rPr>
        <w:t xml:space="preserve">alue </w:t>
      </w:r>
      <w:r w:rsidR="00C227DD">
        <w:rPr>
          <w:rFonts w:cs="Arial"/>
          <w:color w:val="000000"/>
          <w:szCs w:val="24"/>
          <w:shd w:val="clear" w:color="auto" w:fill="FFFFFF"/>
        </w:rPr>
        <w:t>a</w:t>
      </w:r>
      <w:r w:rsidR="00ED0881" w:rsidRPr="00736486">
        <w:rPr>
          <w:rFonts w:cs="Arial"/>
          <w:color w:val="000000"/>
          <w:szCs w:val="24"/>
          <w:shd w:val="clear" w:color="auto" w:fill="FFFFFF"/>
        </w:rPr>
        <w:t>dded (GVA) for Scotland’s Creative Industries sector was estimated at £4,</w:t>
      </w:r>
      <w:r w:rsidR="00587FB2" w:rsidRPr="00736486">
        <w:rPr>
          <w:rFonts w:cs="Arial"/>
          <w:color w:val="000000"/>
          <w:szCs w:val="24"/>
          <w:shd w:val="clear" w:color="auto" w:fill="FFFFFF"/>
        </w:rPr>
        <w:t>379.0</w:t>
      </w:r>
      <w:r w:rsidR="00ED0881" w:rsidRPr="00736486">
        <w:rPr>
          <w:rFonts w:cs="Arial"/>
          <w:color w:val="000000"/>
          <w:szCs w:val="24"/>
          <w:shd w:val="clear" w:color="auto" w:fill="FFFFFF"/>
        </w:rPr>
        <w:t xml:space="preserve"> million in 20</w:t>
      </w:r>
      <w:r w:rsidR="00587FB2" w:rsidRPr="00736486">
        <w:rPr>
          <w:rFonts w:cs="Arial"/>
          <w:color w:val="000000"/>
          <w:szCs w:val="24"/>
          <w:shd w:val="clear" w:color="auto" w:fill="FFFFFF"/>
        </w:rPr>
        <w:t>20</w:t>
      </w:r>
      <w:r w:rsidR="00ED0881" w:rsidRPr="00736486">
        <w:rPr>
          <w:rFonts w:cs="Arial"/>
          <w:color w:val="000000"/>
          <w:szCs w:val="24"/>
          <w:shd w:val="clear" w:color="auto" w:fill="FFFFFF"/>
        </w:rPr>
        <w:t xml:space="preserve">, </w:t>
      </w:r>
      <w:r w:rsidR="00587FB2" w:rsidRPr="00736486">
        <w:rPr>
          <w:rFonts w:cs="Arial"/>
          <w:color w:val="000000"/>
          <w:szCs w:val="24"/>
          <w:shd w:val="clear" w:color="auto" w:fill="FFFFFF"/>
        </w:rPr>
        <w:t>up</w:t>
      </w:r>
      <w:r w:rsidR="00ED0881" w:rsidRPr="00736486">
        <w:rPr>
          <w:rFonts w:cs="Arial"/>
          <w:color w:val="000000"/>
          <w:szCs w:val="24"/>
          <w:shd w:val="clear" w:color="auto" w:fill="FFFFFF"/>
        </w:rPr>
        <w:t xml:space="preserve"> by </w:t>
      </w:r>
      <w:r w:rsidR="00587FB2" w:rsidRPr="00736486">
        <w:rPr>
          <w:rFonts w:cs="Arial"/>
          <w:color w:val="000000"/>
          <w:szCs w:val="24"/>
          <w:shd w:val="clear" w:color="auto" w:fill="FFFFFF"/>
        </w:rPr>
        <w:t>3.2</w:t>
      </w:r>
      <w:r w:rsidR="00ED0881" w:rsidRPr="00736486">
        <w:rPr>
          <w:rFonts w:cs="Arial"/>
          <w:color w:val="000000"/>
          <w:szCs w:val="24"/>
          <w:shd w:val="clear" w:color="auto" w:fill="FFFFFF"/>
        </w:rPr>
        <w:t>% (in nominal terms) on 201</w:t>
      </w:r>
      <w:r w:rsidR="00587FB2" w:rsidRPr="00736486">
        <w:rPr>
          <w:rFonts w:cs="Arial"/>
          <w:color w:val="000000"/>
          <w:szCs w:val="24"/>
          <w:shd w:val="clear" w:color="auto" w:fill="FFFFFF"/>
        </w:rPr>
        <w:t>9</w:t>
      </w:r>
      <w:r w:rsidR="00ED0881" w:rsidRPr="00736486">
        <w:rPr>
          <w:rFonts w:cs="Arial"/>
          <w:color w:val="000000"/>
          <w:szCs w:val="24"/>
          <w:shd w:val="clear" w:color="auto" w:fill="FFFFFF"/>
        </w:rPr>
        <w:t>.</w:t>
      </w:r>
      <w:r w:rsidR="00C14EFA" w:rsidRPr="00736486">
        <w:rPr>
          <w:rFonts w:cs="Arial"/>
          <w:color w:val="000000"/>
          <w:szCs w:val="24"/>
          <w:shd w:val="clear" w:color="auto" w:fill="FFFFFF"/>
        </w:rPr>
        <w:t xml:space="preserve"> While there has been an increase in approximate GVA over the latest year, there has been a reduction of 11.3% since 2017.</w:t>
      </w:r>
    </w:p>
    <w:p w14:paraId="272A035B" w14:textId="183EC0A2" w:rsidR="00C14EFA" w:rsidRPr="00736486" w:rsidRDefault="00C14EFA" w:rsidP="00C53777">
      <w:pPr>
        <w:rPr>
          <w:rFonts w:cs="Arial"/>
          <w:color w:val="000000"/>
          <w:szCs w:val="24"/>
          <w:shd w:val="clear" w:color="auto" w:fill="FFFFFF"/>
        </w:rPr>
      </w:pPr>
    </w:p>
    <w:p w14:paraId="7CE4CE58" w14:textId="17799439" w:rsidR="00351EC2" w:rsidRPr="00736486" w:rsidRDefault="00585B40" w:rsidP="00C53777">
      <w:pPr>
        <w:rPr>
          <w:rFonts w:cs="Arial"/>
          <w:szCs w:val="24"/>
        </w:rPr>
      </w:pPr>
      <w:r>
        <w:rPr>
          <w:noProof/>
        </w:rPr>
        <w:drawing>
          <wp:inline distT="0" distB="0" distL="0" distR="0" wp14:anchorId="2E3809AD" wp14:editId="4A914FA2">
            <wp:extent cx="5858510" cy="2488019"/>
            <wp:effectExtent l="0" t="0" r="0" b="0"/>
            <wp:docPr id="2" name="Chart 2">
              <a:extLst xmlns:a="http://schemas.openxmlformats.org/drawingml/2006/main">
                <a:ext uri="{FF2B5EF4-FFF2-40B4-BE49-F238E27FC236}">
                  <a16:creationId xmlns:a16="http://schemas.microsoft.com/office/drawing/2014/main" id="{150718F7-7108-4F04-24D0-7A66C48AD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4B1CB" w14:textId="006E304B" w:rsidR="00351EC2" w:rsidRPr="00736486" w:rsidRDefault="00351EC2" w:rsidP="00C53777">
      <w:pPr>
        <w:rPr>
          <w:rFonts w:cs="Arial"/>
          <w:szCs w:val="24"/>
        </w:rPr>
      </w:pPr>
    </w:p>
    <w:p w14:paraId="48DAA2C1" w14:textId="6CECCB46" w:rsidR="00EF5A25" w:rsidRPr="00736486" w:rsidRDefault="00EF5A25" w:rsidP="00C53777">
      <w:pPr>
        <w:rPr>
          <w:rFonts w:cs="Arial"/>
          <w:b/>
          <w:color w:val="000000" w:themeColor="text1"/>
          <w:szCs w:val="24"/>
        </w:rPr>
      </w:pPr>
      <w:r w:rsidRPr="00736486">
        <w:rPr>
          <w:rFonts w:cs="Arial"/>
          <w:b/>
          <w:szCs w:val="24"/>
        </w:rPr>
        <w:t>Peo</w:t>
      </w:r>
      <w:r w:rsidR="00351EC2" w:rsidRPr="00736486">
        <w:rPr>
          <w:rFonts w:cs="Arial"/>
          <w:b/>
          <w:szCs w:val="24"/>
        </w:rPr>
        <w:t xml:space="preserve">ple </w:t>
      </w:r>
      <w:r w:rsidR="004439D5" w:rsidRPr="00736486">
        <w:rPr>
          <w:rFonts w:cs="Arial"/>
          <w:b/>
          <w:szCs w:val="24"/>
        </w:rPr>
        <w:t>w</w:t>
      </w:r>
      <w:r w:rsidR="00351EC2" w:rsidRPr="00736486">
        <w:rPr>
          <w:rFonts w:cs="Arial"/>
          <w:b/>
          <w:szCs w:val="24"/>
        </w:rPr>
        <w:t xml:space="preserve">orking in </w:t>
      </w:r>
      <w:r w:rsidR="004439D5" w:rsidRPr="00736486">
        <w:rPr>
          <w:rFonts w:cs="Arial"/>
          <w:b/>
          <w:szCs w:val="24"/>
        </w:rPr>
        <w:t>a</w:t>
      </w:r>
      <w:r w:rsidR="00351EC2" w:rsidRPr="00736486">
        <w:rPr>
          <w:rFonts w:cs="Arial"/>
          <w:b/>
          <w:szCs w:val="24"/>
        </w:rPr>
        <w:t xml:space="preserve">rts and </w:t>
      </w:r>
      <w:r w:rsidR="004439D5" w:rsidRPr="00736486">
        <w:rPr>
          <w:rFonts w:cs="Arial"/>
          <w:b/>
          <w:szCs w:val="24"/>
        </w:rPr>
        <w:t>c</w:t>
      </w:r>
      <w:r w:rsidR="00351EC2" w:rsidRPr="00736486">
        <w:rPr>
          <w:rFonts w:cs="Arial"/>
          <w:b/>
          <w:szCs w:val="24"/>
        </w:rPr>
        <w:t>ulture</w:t>
      </w:r>
      <w:r w:rsidRPr="00736486">
        <w:rPr>
          <w:rFonts w:cs="Arial"/>
          <w:b/>
          <w:szCs w:val="24"/>
        </w:rPr>
        <w:t xml:space="preserve"> </w:t>
      </w:r>
    </w:p>
    <w:p w14:paraId="3B8FAEAA" w14:textId="31318F5E" w:rsidR="00EF5A25" w:rsidRPr="00736486" w:rsidRDefault="00EF5A25">
      <w:pPr>
        <w:rPr>
          <w:rFonts w:cs="Arial"/>
          <w:b/>
          <w:szCs w:val="24"/>
          <w:u w:val="single"/>
        </w:rPr>
      </w:pPr>
    </w:p>
    <w:p w14:paraId="16FD4ADA" w14:textId="20122038" w:rsidR="00351EC2" w:rsidRPr="00736486" w:rsidRDefault="003B2948" w:rsidP="00351EC2">
      <w:pPr>
        <w:rPr>
          <w:rFonts w:cs="Arial"/>
          <w:szCs w:val="24"/>
        </w:rPr>
      </w:pPr>
      <w:r w:rsidRPr="00736486">
        <w:rPr>
          <w:rFonts w:cs="Arial"/>
          <w:noProof/>
          <w:szCs w:val="24"/>
          <w:lang w:eastAsia="en-GB"/>
        </w:rPr>
        <w:drawing>
          <wp:anchor distT="0" distB="0" distL="114300" distR="114300" simplePos="0" relativeHeight="251663360" behindDoc="0" locked="0" layoutInCell="1" allowOverlap="1" wp14:anchorId="35253797" wp14:editId="5A8D3A1B">
            <wp:simplePos x="0" y="0"/>
            <wp:positionH relativeFrom="margin">
              <wp:align>right</wp:align>
            </wp:positionH>
            <wp:positionV relativeFrom="paragraph">
              <wp:posOffset>3810</wp:posOffset>
            </wp:positionV>
            <wp:extent cx="1952625" cy="5143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52625" cy="514350"/>
                    </a:xfrm>
                    <a:prstGeom prst="rect">
                      <a:avLst/>
                    </a:prstGeom>
                  </pic:spPr>
                </pic:pic>
              </a:graphicData>
            </a:graphic>
            <wp14:sizeRelH relativeFrom="margin">
              <wp14:pctWidth>0</wp14:pctWidth>
            </wp14:sizeRelH>
            <wp14:sizeRelV relativeFrom="margin">
              <wp14:pctHeight>0</wp14:pctHeight>
            </wp14:sizeRelV>
          </wp:anchor>
        </w:drawing>
      </w:r>
      <w:r w:rsidR="001B0561">
        <w:rPr>
          <w:rFonts w:cs="Arial"/>
          <w:color w:val="000000"/>
          <w:szCs w:val="24"/>
          <w:shd w:val="clear" w:color="auto" w:fill="FFFFFF"/>
        </w:rPr>
        <w:t>Before changes were made to this indicator, i</w:t>
      </w:r>
      <w:r w:rsidR="00ED0881" w:rsidRPr="00736486">
        <w:rPr>
          <w:rFonts w:cs="Arial"/>
          <w:color w:val="000000"/>
          <w:szCs w:val="24"/>
          <w:shd w:val="clear" w:color="auto" w:fill="FFFFFF"/>
        </w:rPr>
        <w:t>n 202</w:t>
      </w:r>
      <w:r w:rsidR="00C14EFA" w:rsidRPr="00736486">
        <w:rPr>
          <w:rFonts w:cs="Arial"/>
          <w:color w:val="000000"/>
          <w:szCs w:val="24"/>
          <w:shd w:val="clear" w:color="auto" w:fill="FFFFFF"/>
        </w:rPr>
        <w:t>1</w:t>
      </w:r>
      <w:r w:rsidR="00ED0881" w:rsidRPr="00736486">
        <w:rPr>
          <w:rFonts w:cs="Arial"/>
          <w:color w:val="000000"/>
          <w:szCs w:val="24"/>
          <w:shd w:val="clear" w:color="auto" w:fill="FFFFFF"/>
        </w:rPr>
        <w:t xml:space="preserve">, there were </w:t>
      </w:r>
      <w:r w:rsidR="00C14EFA" w:rsidRPr="00736486">
        <w:rPr>
          <w:rFonts w:cs="Arial"/>
          <w:color w:val="000000"/>
          <w:szCs w:val="24"/>
          <w:shd w:val="clear" w:color="auto" w:fill="FFFFFF"/>
        </w:rPr>
        <w:t>78</w:t>
      </w:r>
      <w:r w:rsidR="00ED0881" w:rsidRPr="00736486">
        <w:rPr>
          <w:rFonts w:cs="Arial"/>
          <w:color w:val="000000"/>
          <w:szCs w:val="24"/>
          <w:shd w:val="clear" w:color="auto" w:fill="FFFFFF"/>
        </w:rPr>
        <w:t xml:space="preserve">,000 jobs in Scotland’s Creative Industries sector, down by </w:t>
      </w:r>
      <w:r w:rsidR="00C14EFA" w:rsidRPr="00736486">
        <w:rPr>
          <w:rFonts w:cs="Arial"/>
          <w:color w:val="000000"/>
          <w:szCs w:val="24"/>
          <w:shd w:val="clear" w:color="auto" w:fill="FFFFFF"/>
        </w:rPr>
        <w:t>9</w:t>
      </w:r>
      <w:r w:rsidR="00ED0881" w:rsidRPr="00736486">
        <w:rPr>
          <w:rFonts w:cs="Arial"/>
          <w:color w:val="000000"/>
          <w:szCs w:val="24"/>
          <w:shd w:val="clear" w:color="auto" w:fill="FFFFFF"/>
        </w:rPr>
        <w:t>,000 jobs (</w:t>
      </w:r>
      <w:r w:rsidR="00C14EFA" w:rsidRPr="00736486">
        <w:rPr>
          <w:rFonts w:cs="Arial"/>
          <w:color w:val="000000"/>
          <w:szCs w:val="24"/>
          <w:shd w:val="clear" w:color="auto" w:fill="FFFFFF"/>
        </w:rPr>
        <w:t>-10</w:t>
      </w:r>
      <w:r w:rsidR="00ED0881" w:rsidRPr="00736486">
        <w:rPr>
          <w:rFonts w:cs="Arial"/>
          <w:color w:val="000000"/>
          <w:szCs w:val="24"/>
          <w:shd w:val="clear" w:color="auto" w:fill="FFFFFF"/>
        </w:rPr>
        <w:t>.3%) on 20</w:t>
      </w:r>
      <w:r w:rsidR="00C14EFA" w:rsidRPr="00736486">
        <w:rPr>
          <w:rFonts w:cs="Arial"/>
          <w:color w:val="000000"/>
          <w:szCs w:val="24"/>
          <w:shd w:val="clear" w:color="auto" w:fill="FFFFFF"/>
        </w:rPr>
        <w:t>20</w:t>
      </w:r>
      <w:r w:rsidR="00ED0881" w:rsidRPr="00736486">
        <w:rPr>
          <w:rFonts w:cs="Arial"/>
          <w:color w:val="000000"/>
          <w:szCs w:val="24"/>
          <w:shd w:val="clear" w:color="auto" w:fill="FFFFFF"/>
        </w:rPr>
        <w:t>.</w:t>
      </w:r>
      <w:r w:rsidR="00351EC2" w:rsidRPr="00736486">
        <w:rPr>
          <w:rFonts w:cs="Arial"/>
          <w:szCs w:val="24"/>
        </w:rPr>
        <w:t xml:space="preserve"> </w:t>
      </w:r>
      <w:r w:rsidR="00C14EFA" w:rsidRPr="00736486">
        <w:rPr>
          <w:rFonts w:cs="Arial"/>
          <w:szCs w:val="24"/>
        </w:rPr>
        <w:t>The decrease over the latest year was driven by a fall in jobs in ‘Software/electronic publishing’.</w:t>
      </w:r>
    </w:p>
    <w:p w14:paraId="025B5AE2" w14:textId="77777777" w:rsidR="00585B40" w:rsidRDefault="00585B40" w:rsidP="00351EC2">
      <w:pPr>
        <w:rPr>
          <w:rFonts w:cs="Arial"/>
          <w:b/>
          <w:noProof/>
          <w:u w:val="single"/>
        </w:rPr>
      </w:pPr>
    </w:p>
    <w:p w14:paraId="0DE89871" w14:textId="7604B8A3" w:rsidR="00EF5A25" w:rsidRPr="00736486" w:rsidRDefault="00C4580E" w:rsidP="00351EC2">
      <w:pPr>
        <w:rPr>
          <w:rFonts w:cs="Arial"/>
        </w:rPr>
      </w:pPr>
      <w:r>
        <w:rPr>
          <w:noProof/>
        </w:rPr>
        <w:drawing>
          <wp:inline distT="0" distB="0" distL="0" distR="0" wp14:anchorId="2E2C450B" wp14:editId="5B05FE2B">
            <wp:extent cx="5890260" cy="2562446"/>
            <wp:effectExtent l="0" t="0" r="0" b="0"/>
            <wp:docPr id="5" name="Chart 5">
              <a:extLst xmlns:a="http://schemas.openxmlformats.org/drawingml/2006/main">
                <a:ext uri="{FF2B5EF4-FFF2-40B4-BE49-F238E27FC236}">
                  <a16:creationId xmlns:a16="http://schemas.microsoft.com/office/drawing/2014/main" id="{00BA97C9-5185-894B-9AE2-41C9CBFB1E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F5A25" w:rsidRPr="00736486">
        <w:rPr>
          <w:rFonts w:cs="Arial"/>
          <w:b/>
          <w:u w:val="single"/>
        </w:rPr>
        <w:br w:type="page"/>
      </w:r>
    </w:p>
    <w:p w14:paraId="070D11FA" w14:textId="028B9FF9" w:rsidR="00CB7190" w:rsidRPr="00736486" w:rsidRDefault="00CB7190" w:rsidP="00CB7190">
      <w:pPr>
        <w:rPr>
          <w:rFonts w:cs="Arial"/>
          <w:b/>
        </w:rPr>
      </w:pPr>
      <w:r w:rsidRPr="00736486">
        <w:rPr>
          <w:rFonts w:cs="Arial"/>
          <w:b/>
        </w:rPr>
        <w:lastRenderedPageBreak/>
        <w:t xml:space="preserve">Annex </w:t>
      </w:r>
      <w:r w:rsidR="00C82744">
        <w:rPr>
          <w:rFonts w:cs="Arial"/>
          <w:b/>
        </w:rPr>
        <w:t>B</w:t>
      </w:r>
      <w:r w:rsidRPr="00736486">
        <w:rPr>
          <w:rFonts w:cs="Arial"/>
          <w:b/>
        </w:rPr>
        <w:t xml:space="preserve">: </w:t>
      </w:r>
      <w:r w:rsidR="002C300C">
        <w:rPr>
          <w:rFonts w:cs="Arial"/>
          <w:b/>
        </w:rPr>
        <w:t>New</w:t>
      </w:r>
      <w:r w:rsidRPr="00736486">
        <w:rPr>
          <w:rFonts w:cs="Arial"/>
          <w:b/>
        </w:rPr>
        <w:t xml:space="preserve"> </w:t>
      </w:r>
      <w:r w:rsidR="004439D5" w:rsidRPr="00736486">
        <w:rPr>
          <w:rFonts w:cs="Arial"/>
          <w:b/>
        </w:rPr>
        <w:t xml:space="preserve">sector </w:t>
      </w:r>
      <w:r w:rsidRPr="00736486">
        <w:rPr>
          <w:rFonts w:cs="Arial"/>
          <w:b/>
        </w:rPr>
        <w:t xml:space="preserve">SIC </w:t>
      </w:r>
      <w:r w:rsidR="004439D5" w:rsidRPr="00736486">
        <w:rPr>
          <w:rFonts w:cs="Arial"/>
          <w:b/>
        </w:rPr>
        <w:t>c</w:t>
      </w:r>
      <w:r w:rsidRPr="00736486">
        <w:rPr>
          <w:rFonts w:cs="Arial"/>
          <w:b/>
        </w:rPr>
        <w:t xml:space="preserve">ode </w:t>
      </w:r>
      <w:r w:rsidR="004439D5" w:rsidRPr="00736486">
        <w:rPr>
          <w:rFonts w:cs="Arial"/>
          <w:b/>
        </w:rPr>
        <w:t>d</w:t>
      </w:r>
      <w:r w:rsidRPr="00736486">
        <w:rPr>
          <w:rFonts w:cs="Arial"/>
          <w:b/>
        </w:rPr>
        <w:t>efinition</w:t>
      </w:r>
      <w:r w:rsidR="004439D5" w:rsidRPr="00736486">
        <w:rPr>
          <w:rFonts w:cs="Arial"/>
          <w:b/>
        </w:rPr>
        <w:t xml:space="preserve"> used in national indicators</w:t>
      </w:r>
    </w:p>
    <w:p w14:paraId="1B7768FB" w14:textId="77777777" w:rsidR="00CB7190" w:rsidRPr="00736486" w:rsidRDefault="00CB7190" w:rsidP="00CB7190">
      <w:pPr>
        <w:rPr>
          <w:rFonts w:cs="Arial"/>
          <w:b/>
        </w:rPr>
      </w:pPr>
    </w:p>
    <w:tbl>
      <w:tblPr>
        <w:tblW w:w="0" w:type="auto"/>
        <w:tblLook w:val="04A0" w:firstRow="1" w:lastRow="0" w:firstColumn="1" w:lastColumn="0" w:noHBand="0" w:noVBand="1"/>
      </w:tblPr>
      <w:tblGrid>
        <w:gridCol w:w="1701"/>
        <w:gridCol w:w="7479"/>
        <w:gridCol w:w="12"/>
      </w:tblGrid>
      <w:tr w:rsidR="00CB7190" w:rsidRPr="00736486" w14:paraId="4898D1BE" w14:textId="77777777" w:rsidTr="00CB7190">
        <w:trPr>
          <w:trHeight w:val="255"/>
        </w:trPr>
        <w:tc>
          <w:tcPr>
            <w:tcW w:w="9192" w:type="dxa"/>
            <w:gridSpan w:val="3"/>
            <w:tcBorders>
              <w:top w:val="nil"/>
              <w:left w:val="nil"/>
              <w:bottom w:val="single" w:sz="4" w:space="0" w:color="auto"/>
              <w:right w:val="nil"/>
            </w:tcBorders>
            <w:shd w:val="clear" w:color="auto" w:fill="auto"/>
            <w:noWrap/>
            <w:vAlign w:val="bottom"/>
            <w:hideMark/>
          </w:tcPr>
          <w:p w14:paraId="4F0331C2" w14:textId="09820C33" w:rsidR="00CB7190" w:rsidRPr="00736486" w:rsidRDefault="00671D73" w:rsidP="00A418AC">
            <w:pPr>
              <w:rPr>
                <w:rFonts w:cs="Arial"/>
                <w:b/>
                <w:bCs/>
                <w:color w:val="000000" w:themeColor="text1"/>
                <w:szCs w:val="24"/>
              </w:rPr>
            </w:pPr>
            <w:r w:rsidRPr="00736486">
              <w:rPr>
                <w:rFonts w:cs="Arial"/>
                <w:b/>
                <w:bCs/>
                <w:color w:val="000000" w:themeColor="text1"/>
                <w:szCs w:val="24"/>
              </w:rPr>
              <w:t xml:space="preserve">Table </w:t>
            </w:r>
            <w:r w:rsidR="001B0561">
              <w:rPr>
                <w:rFonts w:cs="Arial"/>
                <w:b/>
                <w:bCs/>
                <w:color w:val="000000" w:themeColor="text1"/>
                <w:szCs w:val="24"/>
              </w:rPr>
              <w:t>3</w:t>
            </w:r>
            <w:r w:rsidRPr="00736486">
              <w:rPr>
                <w:rFonts w:cs="Arial"/>
                <w:b/>
                <w:bCs/>
                <w:color w:val="000000" w:themeColor="text1"/>
                <w:szCs w:val="24"/>
              </w:rPr>
              <w:t xml:space="preserve">: </w:t>
            </w:r>
            <w:r w:rsidR="002C300C">
              <w:rPr>
                <w:rFonts w:cs="Arial"/>
                <w:b/>
                <w:bCs/>
                <w:color w:val="000000" w:themeColor="text1"/>
                <w:szCs w:val="24"/>
              </w:rPr>
              <w:t>New</w:t>
            </w:r>
            <w:r w:rsidR="001B0561">
              <w:rPr>
                <w:rFonts w:cs="Arial"/>
                <w:b/>
                <w:bCs/>
                <w:color w:val="000000" w:themeColor="text1"/>
                <w:szCs w:val="24"/>
              </w:rPr>
              <w:t xml:space="preserve"> </w:t>
            </w:r>
            <w:r w:rsidR="002C300C">
              <w:rPr>
                <w:rFonts w:cs="Arial"/>
                <w:b/>
                <w:bCs/>
                <w:color w:val="000000" w:themeColor="text1"/>
                <w:szCs w:val="24"/>
              </w:rPr>
              <w:t>expanded</w:t>
            </w:r>
            <w:r w:rsidR="004439D5" w:rsidRPr="00736486">
              <w:rPr>
                <w:rFonts w:cs="Arial"/>
                <w:b/>
                <w:bCs/>
                <w:color w:val="000000" w:themeColor="text1"/>
                <w:szCs w:val="24"/>
              </w:rPr>
              <w:t xml:space="preserve"> d</w:t>
            </w:r>
            <w:r w:rsidR="00CB7190" w:rsidRPr="00736486">
              <w:rPr>
                <w:rFonts w:cs="Arial"/>
                <w:b/>
                <w:bCs/>
                <w:color w:val="000000" w:themeColor="text1"/>
                <w:szCs w:val="24"/>
              </w:rPr>
              <w:t>efinition</w:t>
            </w:r>
            <w:r w:rsidR="001B0561">
              <w:rPr>
                <w:rFonts w:cs="Arial"/>
                <w:b/>
                <w:bCs/>
                <w:color w:val="000000" w:themeColor="text1"/>
                <w:szCs w:val="24"/>
              </w:rPr>
              <w:t xml:space="preserve"> </w:t>
            </w:r>
            <w:r w:rsidR="002C300C">
              <w:rPr>
                <w:rFonts w:cs="Arial"/>
                <w:b/>
                <w:bCs/>
                <w:color w:val="000000" w:themeColor="text1"/>
                <w:szCs w:val="24"/>
              </w:rPr>
              <w:t>of Creative, culture and arts</w:t>
            </w:r>
            <w:r w:rsidR="004439D5" w:rsidRPr="00736486">
              <w:rPr>
                <w:rFonts w:cs="Arial"/>
                <w:b/>
                <w:bCs/>
                <w:color w:val="000000" w:themeColor="text1"/>
                <w:szCs w:val="24"/>
              </w:rPr>
              <w:t xml:space="preserve"> sector </w:t>
            </w:r>
          </w:p>
        </w:tc>
      </w:tr>
      <w:tr w:rsidR="002C300C" w:rsidRPr="00736486" w14:paraId="3305731F" w14:textId="77777777" w:rsidTr="002C300C">
        <w:trPr>
          <w:gridAfter w:val="1"/>
          <w:wAfter w:w="12" w:type="dxa"/>
          <w:trHeight w:val="52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33FF0" w14:textId="77777777" w:rsidR="002C300C" w:rsidRPr="00736486" w:rsidRDefault="002C300C" w:rsidP="00A418AC">
            <w:pPr>
              <w:jc w:val="center"/>
              <w:rPr>
                <w:rFonts w:cs="Arial"/>
                <w:b/>
                <w:bCs/>
                <w:color w:val="000000" w:themeColor="text1"/>
                <w:szCs w:val="24"/>
              </w:rPr>
            </w:pPr>
            <w:r w:rsidRPr="00736486">
              <w:rPr>
                <w:rFonts w:cs="Arial"/>
                <w:b/>
                <w:bCs/>
                <w:color w:val="000000" w:themeColor="text1"/>
                <w:szCs w:val="24"/>
              </w:rPr>
              <w:t>Cultural</w:t>
            </w:r>
            <w:r w:rsidRPr="00736486">
              <w:rPr>
                <w:rFonts w:cs="Arial"/>
                <w:b/>
                <w:bCs/>
                <w:color w:val="000000" w:themeColor="text1"/>
                <w:szCs w:val="24"/>
              </w:rPr>
              <w:br/>
              <w:t xml:space="preserve"> Domains</w:t>
            </w:r>
          </w:p>
        </w:tc>
        <w:tc>
          <w:tcPr>
            <w:tcW w:w="7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14449" w14:textId="6D5A2E00" w:rsidR="002C300C" w:rsidRPr="00736486" w:rsidRDefault="002C300C" w:rsidP="00A418AC">
            <w:pPr>
              <w:jc w:val="center"/>
              <w:rPr>
                <w:rFonts w:cs="Arial"/>
                <w:b/>
                <w:bCs/>
                <w:color w:val="000000" w:themeColor="text1"/>
                <w:szCs w:val="24"/>
              </w:rPr>
            </w:pPr>
            <w:r w:rsidRPr="00736486">
              <w:rPr>
                <w:rFonts w:cs="Arial"/>
                <w:b/>
                <w:bCs/>
                <w:color w:val="000000" w:themeColor="text1"/>
                <w:szCs w:val="24"/>
              </w:rPr>
              <w:t>SIC 2007 Code</w:t>
            </w:r>
          </w:p>
        </w:tc>
      </w:tr>
      <w:tr w:rsidR="002C300C" w:rsidRPr="00736486" w14:paraId="34EC2A54" w14:textId="77777777" w:rsidTr="002C300C">
        <w:trPr>
          <w:gridAfter w:val="1"/>
          <w:wAfter w:w="12" w:type="dxa"/>
          <w:trHeight w:val="255"/>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14:paraId="731E347D" w14:textId="77777777" w:rsidR="002C300C" w:rsidRPr="00736486" w:rsidRDefault="002C300C" w:rsidP="00A418AC">
            <w:pPr>
              <w:jc w:val="center"/>
              <w:rPr>
                <w:rFonts w:cs="Arial"/>
                <w:b/>
                <w:bCs/>
                <w:color w:val="000000" w:themeColor="text1"/>
                <w:szCs w:val="24"/>
              </w:rPr>
            </w:pPr>
            <w:r w:rsidRPr="00736486">
              <w:rPr>
                <w:rFonts w:cs="Arial"/>
                <w:b/>
                <w:bCs/>
                <w:color w:val="000000" w:themeColor="text1"/>
                <w:szCs w:val="24"/>
              </w:rPr>
              <w:t>Visual Art</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950F" w14:textId="77777777" w:rsidR="002C300C" w:rsidRPr="00736486" w:rsidRDefault="002C300C" w:rsidP="00A418AC">
            <w:pPr>
              <w:rPr>
                <w:rFonts w:cs="Arial"/>
                <w:color w:val="000000" w:themeColor="text1"/>
                <w:szCs w:val="24"/>
              </w:rPr>
            </w:pPr>
            <w:r w:rsidRPr="00736486">
              <w:rPr>
                <w:rFonts w:cs="Arial"/>
                <w:color w:val="000000" w:themeColor="text1"/>
                <w:szCs w:val="24"/>
              </w:rPr>
              <w:t>SIC 73.11: Advertising agencies</w:t>
            </w:r>
          </w:p>
        </w:tc>
      </w:tr>
      <w:tr w:rsidR="002C300C" w:rsidRPr="00736486" w14:paraId="3B107997" w14:textId="77777777" w:rsidTr="002C300C">
        <w:trPr>
          <w:gridAfter w:val="1"/>
          <w:wAfter w:w="12" w:type="dxa"/>
          <w:trHeight w:val="270"/>
        </w:trPr>
        <w:tc>
          <w:tcPr>
            <w:tcW w:w="1701" w:type="dxa"/>
            <w:vMerge/>
            <w:tcBorders>
              <w:left w:val="single" w:sz="4" w:space="0" w:color="auto"/>
              <w:right w:val="single" w:sz="4" w:space="0" w:color="auto"/>
            </w:tcBorders>
            <w:shd w:val="clear" w:color="auto" w:fill="auto"/>
            <w:vAlign w:val="center"/>
            <w:hideMark/>
          </w:tcPr>
          <w:p w14:paraId="6320B619" w14:textId="77777777" w:rsidR="002C300C" w:rsidRPr="00736486" w:rsidRDefault="002C300C" w:rsidP="00A418AC">
            <w:pPr>
              <w:rPr>
                <w:rFonts w:cs="Arial"/>
                <w:b/>
                <w:bCs/>
                <w:color w:val="000000" w:themeColor="text1"/>
                <w:szCs w:val="24"/>
              </w:rPr>
            </w:pPr>
          </w:p>
        </w:tc>
        <w:tc>
          <w:tcPr>
            <w:tcW w:w="7479"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0D373DC" w14:textId="77777777" w:rsidR="002C300C" w:rsidRPr="00736486" w:rsidRDefault="002C300C" w:rsidP="00A418AC">
            <w:pPr>
              <w:rPr>
                <w:rFonts w:cs="Arial"/>
                <w:color w:val="000000" w:themeColor="text1"/>
                <w:szCs w:val="24"/>
              </w:rPr>
            </w:pPr>
            <w:r w:rsidRPr="00736486">
              <w:rPr>
                <w:rFonts w:cs="Arial"/>
                <w:color w:val="000000" w:themeColor="text1"/>
                <w:szCs w:val="24"/>
              </w:rPr>
              <w:t>SIC 73.12: Media representation</w:t>
            </w:r>
          </w:p>
        </w:tc>
      </w:tr>
      <w:tr w:rsidR="002C300C" w:rsidRPr="00736486" w14:paraId="02D99864" w14:textId="77777777" w:rsidTr="002C300C">
        <w:trPr>
          <w:gridAfter w:val="1"/>
          <w:wAfter w:w="12" w:type="dxa"/>
          <w:trHeight w:val="270"/>
        </w:trPr>
        <w:tc>
          <w:tcPr>
            <w:tcW w:w="1701" w:type="dxa"/>
            <w:vMerge/>
            <w:tcBorders>
              <w:left w:val="single" w:sz="4" w:space="0" w:color="auto"/>
              <w:right w:val="single" w:sz="4" w:space="0" w:color="auto"/>
            </w:tcBorders>
            <w:shd w:val="clear" w:color="auto" w:fill="auto"/>
            <w:vAlign w:val="center"/>
            <w:hideMark/>
          </w:tcPr>
          <w:p w14:paraId="02157851"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8" w:space="0" w:color="auto"/>
              <w:right w:val="single" w:sz="8" w:space="0" w:color="auto"/>
            </w:tcBorders>
            <w:shd w:val="clear" w:color="auto" w:fill="auto"/>
            <w:noWrap/>
            <w:vAlign w:val="center"/>
            <w:hideMark/>
          </w:tcPr>
          <w:p w14:paraId="258F3B10" w14:textId="77777777" w:rsidR="002C300C" w:rsidRPr="00736486" w:rsidRDefault="002C300C" w:rsidP="00A418AC">
            <w:pPr>
              <w:rPr>
                <w:rFonts w:cs="Arial"/>
                <w:color w:val="000000" w:themeColor="text1"/>
                <w:szCs w:val="24"/>
              </w:rPr>
            </w:pPr>
            <w:r w:rsidRPr="00736486">
              <w:rPr>
                <w:rFonts w:cs="Arial"/>
                <w:color w:val="000000" w:themeColor="text1"/>
                <w:szCs w:val="24"/>
              </w:rPr>
              <w:t>SIC 71.11: Architectural activities</w:t>
            </w:r>
          </w:p>
        </w:tc>
      </w:tr>
      <w:tr w:rsidR="002C300C" w:rsidRPr="00736486" w14:paraId="1C2090C9"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70B7F8C6"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vAlign w:val="center"/>
            <w:hideMark/>
          </w:tcPr>
          <w:p w14:paraId="265B6AE5" w14:textId="77777777" w:rsidR="002C300C" w:rsidRPr="00736486" w:rsidRDefault="002C300C" w:rsidP="00A418AC">
            <w:pPr>
              <w:rPr>
                <w:rFonts w:cs="Arial"/>
                <w:color w:val="000000" w:themeColor="text1"/>
                <w:szCs w:val="24"/>
              </w:rPr>
            </w:pPr>
            <w:r w:rsidRPr="00736486">
              <w:rPr>
                <w:rFonts w:cs="Arial"/>
                <w:color w:val="000000" w:themeColor="text1"/>
                <w:szCs w:val="24"/>
              </w:rPr>
              <w:t>SIC 90.03: Artistic creation (70%)</w:t>
            </w:r>
          </w:p>
        </w:tc>
      </w:tr>
      <w:tr w:rsidR="002C300C" w:rsidRPr="00736486" w14:paraId="5EC2A01E" w14:textId="77777777" w:rsidTr="002C300C">
        <w:trPr>
          <w:gridAfter w:val="1"/>
          <w:wAfter w:w="12" w:type="dxa"/>
          <w:trHeight w:val="270"/>
        </w:trPr>
        <w:tc>
          <w:tcPr>
            <w:tcW w:w="1701" w:type="dxa"/>
            <w:vMerge/>
            <w:tcBorders>
              <w:left w:val="single" w:sz="4" w:space="0" w:color="auto"/>
              <w:right w:val="single" w:sz="4" w:space="0" w:color="auto"/>
            </w:tcBorders>
            <w:shd w:val="clear" w:color="auto" w:fill="auto"/>
            <w:vAlign w:val="center"/>
            <w:hideMark/>
          </w:tcPr>
          <w:p w14:paraId="285F2E56"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8" w:space="0" w:color="auto"/>
              <w:right w:val="single" w:sz="8" w:space="0" w:color="auto"/>
            </w:tcBorders>
            <w:shd w:val="clear" w:color="auto" w:fill="auto"/>
            <w:vAlign w:val="center"/>
            <w:hideMark/>
          </w:tcPr>
          <w:p w14:paraId="0C34C051" w14:textId="77777777" w:rsidR="002C300C" w:rsidRPr="00736486" w:rsidRDefault="002C300C" w:rsidP="00A418AC">
            <w:pPr>
              <w:rPr>
                <w:rFonts w:cs="Arial"/>
                <w:color w:val="000000" w:themeColor="text1"/>
                <w:szCs w:val="24"/>
              </w:rPr>
            </w:pPr>
            <w:r w:rsidRPr="00736486">
              <w:rPr>
                <w:rFonts w:cs="Arial"/>
                <w:color w:val="000000" w:themeColor="text1"/>
                <w:szCs w:val="24"/>
              </w:rPr>
              <w:t>SIC 47.78/1: Retail sale in commercial art galleries</w:t>
            </w:r>
          </w:p>
        </w:tc>
      </w:tr>
      <w:tr w:rsidR="002C300C" w:rsidRPr="00736486" w14:paraId="7F7A524B"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6B857DAE"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6F8FECBF" w14:textId="77777777" w:rsidR="002C300C" w:rsidRPr="00736486" w:rsidRDefault="002C300C" w:rsidP="00A418AC">
            <w:pPr>
              <w:rPr>
                <w:rFonts w:cs="Arial"/>
                <w:color w:val="000000" w:themeColor="text1"/>
                <w:szCs w:val="24"/>
              </w:rPr>
            </w:pPr>
            <w:r w:rsidRPr="00736486">
              <w:rPr>
                <w:rFonts w:cs="Arial"/>
                <w:color w:val="000000" w:themeColor="text1"/>
                <w:szCs w:val="24"/>
              </w:rPr>
              <w:t>SIC 31.09: Manufacture of other furniture</w:t>
            </w:r>
          </w:p>
        </w:tc>
      </w:tr>
      <w:tr w:rsidR="002C300C" w:rsidRPr="00736486" w14:paraId="101D3E51"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12B411A4"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51E66E2B" w14:textId="77777777" w:rsidR="002C300C" w:rsidRPr="00736486" w:rsidRDefault="002C300C" w:rsidP="00A418AC">
            <w:pPr>
              <w:rPr>
                <w:rFonts w:cs="Arial"/>
                <w:color w:val="000000" w:themeColor="text1"/>
                <w:szCs w:val="24"/>
              </w:rPr>
            </w:pPr>
            <w:r w:rsidRPr="00736486">
              <w:rPr>
                <w:rFonts w:cs="Arial"/>
                <w:color w:val="000000" w:themeColor="text1"/>
                <w:szCs w:val="24"/>
              </w:rPr>
              <w:t xml:space="preserve">SIC 16.29: Manufacture of other wood products (30%) </w:t>
            </w:r>
          </w:p>
        </w:tc>
      </w:tr>
      <w:tr w:rsidR="002C300C" w:rsidRPr="00736486" w14:paraId="70E9E489"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4CEC62F8"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73A08A63" w14:textId="77777777" w:rsidR="002C300C" w:rsidRPr="00736486" w:rsidRDefault="002C300C" w:rsidP="00A418AC">
            <w:pPr>
              <w:rPr>
                <w:rFonts w:cs="Arial"/>
                <w:color w:val="000000" w:themeColor="text1"/>
                <w:szCs w:val="24"/>
              </w:rPr>
            </w:pPr>
            <w:r w:rsidRPr="00736486">
              <w:rPr>
                <w:rFonts w:cs="Arial"/>
                <w:color w:val="000000" w:themeColor="text1"/>
                <w:szCs w:val="24"/>
              </w:rPr>
              <w:t>SIC 32.12 Manufacture of jewellery and related products</w:t>
            </w:r>
          </w:p>
        </w:tc>
      </w:tr>
      <w:tr w:rsidR="002C300C" w:rsidRPr="00736486" w14:paraId="3E078638"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57F13D40"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7240E113" w14:textId="77777777" w:rsidR="002C300C" w:rsidRPr="00736486" w:rsidRDefault="002C300C" w:rsidP="00A418AC">
            <w:pPr>
              <w:rPr>
                <w:rFonts w:cs="Arial"/>
                <w:color w:val="000000" w:themeColor="text1"/>
                <w:szCs w:val="24"/>
              </w:rPr>
            </w:pPr>
            <w:r w:rsidRPr="00736486">
              <w:rPr>
                <w:rFonts w:cs="Arial"/>
                <w:color w:val="000000" w:themeColor="text1"/>
                <w:szCs w:val="24"/>
              </w:rPr>
              <w:t>SIC 32.13: Manufacture of imitation jewellery and related articles</w:t>
            </w:r>
          </w:p>
        </w:tc>
      </w:tr>
      <w:tr w:rsidR="002C300C" w:rsidRPr="00736486" w14:paraId="30E4ADB8"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41B4F6F9"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28ED4109" w14:textId="77777777" w:rsidR="002C300C" w:rsidRPr="00736486" w:rsidRDefault="002C300C" w:rsidP="00A418AC">
            <w:pPr>
              <w:rPr>
                <w:rFonts w:cs="Arial"/>
                <w:color w:val="000000" w:themeColor="text1"/>
                <w:szCs w:val="24"/>
              </w:rPr>
            </w:pPr>
            <w:r w:rsidRPr="00736486">
              <w:rPr>
                <w:rFonts w:cs="Arial"/>
                <w:color w:val="000000" w:themeColor="text1"/>
                <w:szCs w:val="24"/>
              </w:rPr>
              <w:t>SIC 23.41 Manufacture of ceramic household and ornamental articles (35%)</w:t>
            </w:r>
          </w:p>
        </w:tc>
      </w:tr>
      <w:tr w:rsidR="002C300C" w:rsidRPr="00736486" w14:paraId="69FB5330"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4FE92F34"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7A7B5F13" w14:textId="77777777" w:rsidR="002C300C" w:rsidRPr="00736486" w:rsidRDefault="002C300C" w:rsidP="00A418AC">
            <w:pPr>
              <w:rPr>
                <w:rFonts w:cs="Arial"/>
                <w:color w:val="000000" w:themeColor="text1"/>
                <w:szCs w:val="24"/>
              </w:rPr>
            </w:pPr>
            <w:r w:rsidRPr="00736486">
              <w:rPr>
                <w:rFonts w:cs="Arial"/>
                <w:color w:val="000000" w:themeColor="text1"/>
                <w:szCs w:val="24"/>
              </w:rPr>
              <w:t>SIC 23.49 Manufacture of other ceramic products (35%)</w:t>
            </w:r>
          </w:p>
        </w:tc>
      </w:tr>
      <w:tr w:rsidR="002C300C" w:rsidRPr="00736486" w14:paraId="4CB540D4"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69B338DE"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6DD2D7FF" w14:textId="77777777" w:rsidR="002C300C" w:rsidRPr="00736486" w:rsidRDefault="002C300C" w:rsidP="00A418AC">
            <w:pPr>
              <w:rPr>
                <w:rFonts w:cs="Arial"/>
                <w:color w:val="000000" w:themeColor="text1"/>
                <w:szCs w:val="24"/>
              </w:rPr>
            </w:pPr>
            <w:r w:rsidRPr="00736486">
              <w:rPr>
                <w:rFonts w:cs="Arial"/>
                <w:color w:val="000000" w:themeColor="text1"/>
                <w:szCs w:val="24"/>
              </w:rPr>
              <w:t>SIC 23.13 Manufacture of hollow glass (15%)</w:t>
            </w:r>
          </w:p>
        </w:tc>
      </w:tr>
      <w:tr w:rsidR="002C300C" w:rsidRPr="00736486" w14:paraId="220AA777"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6084F422"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1931AEC6" w14:textId="77777777" w:rsidR="002C300C" w:rsidRPr="00736486" w:rsidRDefault="002C300C" w:rsidP="00A418AC">
            <w:pPr>
              <w:rPr>
                <w:rFonts w:cs="Arial"/>
                <w:color w:val="000000" w:themeColor="text1"/>
                <w:szCs w:val="24"/>
              </w:rPr>
            </w:pPr>
            <w:r w:rsidRPr="00736486">
              <w:rPr>
                <w:rFonts w:cs="Arial"/>
                <w:color w:val="000000" w:themeColor="text1"/>
                <w:szCs w:val="24"/>
              </w:rPr>
              <w:t>SIC 23.19 Manufacture of other glass (15%)</w:t>
            </w:r>
          </w:p>
        </w:tc>
      </w:tr>
      <w:tr w:rsidR="002C300C" w:rsidRPr="00736486" w14:paraId="0B7FE089"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0DC7494A"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64AAE77F" w14:textId="77777777" w:rsidR="002C300C" w:rsidRPr="00736486" w:rsidRDefault="002C300C" w:rsidP="00A418AC">
            <w:pPr>
              <w:rPr>
                <w:rFonts w:cs="Arial"/>
                <w:color w:val="000000" w:themeColor="text1"/>
                <w:szCs w:val="24"/>
              </w:rPr>
            </w:pPr>
            <w:r w:rsidRPr="00736486">
              <w:rPr>
                <w:rFonts w:cs="Arial"/>
                <w:color w:val="000000" w:themeColor="text1"/>
                <w:szCs w:val="24"/>
              </w:rPr>
              <w:t>SIC 47.79/1: Retail sale of antiques and antique books</w:t>
            </w:r>
          </w:p>
        </w:tc>
      </w:tr>
      <w:tr w:rsidR="002C300C" w:rsidRPr="00736486" w14:paraId="3D5ED02F" w14:textId="77777777" w:rsidTr="002C300C">
        <w:trPr>
          <w:gridAfter w:val="1"/>
          <w:wAfter w:w="12" w:type="dxa"/>
          <w:trHeight w:val="270"/>
        </w:trPr>
        <w:tc>
          <w:tcPr>
            <w:tcW w:w="1701" w:type="dxa"/>
            <w:vMerge/>
            <w:tcBorders>
              <w:left w:val="single" w:sz="4" w:space="0" w:color="auto"/>
              <w:right w:val="single" w:sz="4" w:space="0" w:color="auto"/>
            </w:tcBorders>
            <w:shd w:val="clear" w:color="auto" w:fill="auto"/>
            <w:vAlign w:val="center"/>
            <w:hideMark/>
          </w:tcPr>
          <w:p w14:paraId="43D5A2BD"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6EAB5167" w14:textId="77777777" w:rsidR="002C300C" w:rsidRPr="00736486" w:rsidRDefault="002C300C" w:rsidP="00A418AC">
            <w:pPr>
              <w:rPr>
                <w:rFonts w:cs="Arial"/>
                <w:color w:val="000000" w:themeColor="text1"/>
                <w:szCs w:val="24"/>
              </w:rPr>
            </w:pPr>
            <w:r w:rsidRPr="00736486">
              <w:rPr>
                <w:rFonts w:cs="Arial"/>
                <w:color w:val="000000" w:themeColor="text1"/>
                <w:szCs w:val="24"/>
              </w:rPr>
              <w:t>SIC 95.24: Repair of furniture and home furnishings</w:t>
            </w:r>
          </w:p>
        </w:tc>
      </w:tr>
      <w:tr w:rsidR="002C300C" w:rsidRPr="00736486" w14:paraId="3F966D1B"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796566F9" w14:textId="77777777" w:rsidR="002C300C" w:rsidRPr="00736486" w:rsidRDefault="002C300C" w:rsidP="00A418AC">
            <w:pPr>
              <w:rPr>
                <w:rFonts w:cs="Arial"/>
                <w:b/>
                <w:bCs/>
                <w:color w:val="000000" w:themeColor="text1"/>
                <w:szCs w:val="24"/>
              </w:rPr>
            </w:pPr>
          </w:p>
        </w:tc>
        <w:tc>
          <w:tcPr>
            <w:tcW w:w="747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7EB0E74" w14:textId="77777777" w:rsidR="002C300C" w:rsidRPr="00736486" w:rsidRDefault="002C300C" w:rsidP="00A418AC">
            <w:pPr>
              <w:rPr>
                <w:rFonts w:cs="Arial"/>
                <w:color w:val="000000" w:themeColor="text1"/>
                <w:szCs w:val="24"/>
              </w:rPr>
            </w:pPr>
            <w:r w:rsidRPr="00736486">
              <w:rPr>
                <w:rFonts w:cs="Arial"/>
                <w:color w:val="000000" w:themeColor="text1"/>
                <w:szCs w:val="24"/>
              </w:rPr>
              <w:t xml:space="preserve">SIC 13: Manufacture of textiles (25%) </w:t>
            </w:r>
          </w:p>
        </w:tc>
      </w:tr>
      <w:tr w:rsidR="002C300C" w:rsidRPr="00736486" w14:paraId="2959C532"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08E46D0B"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03F356E8" w14:textId="77777777" w:rsidR="002C300C" w:rsidRPr="00736486" w:rsidRDefault="002C300C" w:rsidP="00A418AC">
            <w:pPr>
              <w:rPr>
                <w:rFonts w:cs="Arial"/>
                <w:color w:val="000000" w:themeColor="text1"/>
                <w:szCs w:val="24"/>
              </w:rPr>
            </w:pPr>
            <w:r w:rsidRPr="00736486">
              <w:rPr>
                <w:rFonts w:cs="Arial"/>
                <w:color w:val="000000" w:themeColor="text1"/>
                <w:szCs w:val="24"/>
              </w:rPr>
              <w:t xml:space="preserve">SIC 14: Manufacture of wearing apparel (20%) </w:t>
            </w:r>
          </w:p>
        </w:tc>
      </w:tr>
      <w:tr w:rsidR="002C300C" w:rsidRPr="00736486" w14:paraId="1962EDF8"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73EECA81"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493BE23C" w14:textId="77777777" w:rsidR="002C300C" w:rsidRPr="00736486" w:rsidRDefault="002C300C" w:rsidP="00A418AC">
            <w:pPr>
              <w:rPr>
                <w:rFonts w:cs="Arial"/>
                <w:color w:val="000000" w:themeColor="text1"/>
                <w:szCs w:val="24"/>
              </w:rPr>
            </w:pPr>
            <w:r w:rsidRPr="00736486">
              <w:rPr>
                <w:rFonts w:cs="Arial"/>
                <w:color w:val="000000" w:themeColor="text1"/>
                <w:szCs w:val="24"/>
              </w:rPr>
              <w:t>SIC 15: Manufacture of leather and related products (20%)</w:t>
            </w:r>
          </w:p>
        </w:tc>
      </w:tr>
      <w:tr w:rsidR="002C300C" w:rsidRPr="00736486" w14:paraId="326B07B2" w14:textId="77777777" w:rsidTr="002C300C">
        <w:trPr>
          <w:gridAfter w:val="1"/>
          <w:wAfter w:w="12" w:type="dxa"/>
          <w:trHeight w:val="270"/>
        </w:trPr>
        <w:tc>
          <w:tcPr>
            <w:tcW w:w="1701" w:type="dxa"/>
            <w:vMerge/>
            <w:tcBorders>
              <w:left w:val="single" w:sz="4" w:space="0" w:color="auto"/>
              <w:right w:val="single" w:sz="4" w:space="0" w:color="auto"/>
            </w:tcBorders>
            <w:shd w:val="clear" w:color="auto" w:fill="auto"/>
            <w:vAlign w:val="center"/>
            <w:hideMark/>
          </w:tcPr>
          <w:p w14:paraId="034FF23A"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8" w:space="0" w:color="auto"/>
              <w:right w:val="single" w:sz="8" w:space="0" w:color="auto"/>
            </w:tcBorders>
            <w:shd w:val="clear" w:color="auto" w:fill="auto"/>
            <w:noWrap/>
            <w:vAlign w:val="center"/>
            <w:hideMark/>
          </w:tcPr>
          <w:p w14:paraId="4DA0F1DA" w14:textId="77777777" w:rsidR="002C300C" w:rsidRPr="00736486" w:rsidRDefault="002C300C" w:rsidP="00A418AC">
            <w:pPr>
              <w:rPr>
                <w:rFonts w:cs="Arial"/>
                <w:color w:val="000000" w:themeColor="text1"/>
                <w:szCs w:val="24"/>
              </w:rPr>
            </w:pPr>
            <w:r w:rsidRPr="00736486">
              <w:rPr>
                <w:rFonts w:cs="Arial"/>
                <w:color w:val="000000" w:themeColor="text1"/>
                <w:szCs w:val="24"/>
              </w:rPr>
              <w:t>SIC 74.1: Specialised design activities (25%)</w:t>
            </w:r>
          </w:p>
        </w:tc>
      </w:tr>
      <w:tr w:rsidR="002C300C" w:rsidRPr="00736486" w14:paraId="2FB83253" w14:textId="77777777" w:rsidTr="002C300C">
        <w:trPr>
          <w:gridAfter w:val="1"/>
          <w:wAfter w:w="12" w:type="dxa"/>
          <w:trHeight w:val="255"/>
        </w:trPr>
        <w:tc>
          <w:tcPr>
            <w:tcW w:w="1701" w:type="dxa"/>
            <w:vMerge/>
            <w:tcBorders>
              <w:left w:val="single" w:sz="4" w:space="0" w:color="auto"/>
              <w:right w:val="single" w:sz="4" w:space="0" w:color="auto"/>
            </w:tcBorders>
            <w:shd w:val="clear" w:color="auto" w:fill="auto"/>
            <w:vAlign w:val="center"/>
            <w:hideMark/>
          </w:tcPr>
          <w:p w14:paraId="4F1306CA"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4" w:space="0" w:color="auto"/>
              <w:right w:val="single" w:sz="8" w:space="0" w:color="auto"/>
            </w:tcBorders>
            <w:shd w:val="clear" w:color="auto" w:fill="auto"/>
            <w:noWrap/>
            <w:vAlign w:val="center"/>
            <w:hideMark/>
          </w:tcPr>
          <w:p w14:paraId="68EB8E1F" w14:textId="77777777" w:rsidR="002C300C" w:rsidRPr="00736486" w:rsidRDefault="002C300C" w:rsidP="00A418AC">
            <w:pPr>
              <w:rPr>
                <w:rFonts w:cs="Arial"/>
                <w:color w:val="000000" w:themeColor="text1"/>
                <w:szCs w:val="24"/>
              </w:rPr>
            </w:pPr>
            <w:r w:rsidRPr="00736486">
              <w:rPr>
                <w:rFonts w:cs="Arial"/>
                <w:color w:val="000000" w:themeColor="text1"/>
                <w:szCs w:val="24"/>
              </w:rPr>
              <w:t>SIC 71.12/1: Engineering design activities for industrial process and production</w:t>
            </w:r>
          </w:p>
        </w:tc>
      </w:tr>
      <w:tr w:rsidR="002C300C" w:rsidRPr="00736486" w14:paraId="5F6318FB" w14:textId="77777777" w:rsidTr="002C300C">
        <w:trPr>
          <w:gridAfter w:val="1"/>
          <w:wAfter w:w="12" w:type="dxa"/>
          <w:trHeight w:val="270"/>
        </w:trPr>
        <w:tc>
          <w:tcPr>
            <w:tcW w:w="1701" w:type="dxa"/>
            <w:vMerge/>
            <w:tcBorders>
              <w:left w:val="single" w:sz="4" w:space="0" w:color="auto"/>
              <w:right w:val="single" w:sz="4" w:space="0" w:color="auto"/>
            </w:tcBorders>
            <w:shd w:val="clear" w:color="auto" w:fill="auto"/>
            <w:vAlign w:val="center"/>
            <w:hideMark/>
          </w:tcPr>
          <w:p w14:paraId="486F65AE" w14:textId="77777777" w:rsidR="002C300C" w:rsidRPr="00736486" w:rsidRDefault="002C300C" w:rsidP="00A418AC">
            <w:pPr>
              <w:rPr>
                <w:rFonts w:cs="Arial"/>
                <w:b/>
                <w:bCs/>
                <w:color w:val="000000" w:themeColor="text1"/>
                <w:szCs w:val="24"/>
              </w:rPr>
            </w:pPr>
          </w:p>
        </w:tc>
        <w:tc>
          <w:tcPr>
            <w:tcW w:w="7479" w:type="dxa"/>
            <w:tcBorders>
              <w:top w:val="nil"/>
              <w:left w:val="single" w:sz="4" w:space="0" w:color="auto"/>
              <w:bottom w:val="single" w:sz="8" w:space="0" w:color="auto"/>
              <w:right w:val="single" w:sz="8" w:space="0" w:color="auto"/>
            </w:tcBorders>
            <w:shd w:val="clear" w:color="auto" w:fill="auto"/>
            <w:noWrap/>
            <w:vAlign w:val="center"/>
            <w:hideMark/>
          </w:tcPr>
          <w:p w14:paraId="37F22430" w14:textId="77777777" w:rsidR="002C300C" w:rsidRPr="00736486" w:rsidRDefault="002C300C" w:rsidP="00A418AC">
            <w:pPr>
              <w:rPr>
                <w:rFonts w:cs="Arial"/>
                <w:color w:val="000000" w:themeColor="text1"/>
                <w:szCs w:val="24"/>
              </w:rPr>
            </w:pPr>
            <w:r w:rsidRPr="00736486">
              <w:rPr>
                <w:rFonts w:cs="Arial"/>
                <w:color w:val="000000" w:themeColor="text1"/>
                <w:szCs w:val="24"/>
              </w:rPr>
              <w:t>SIC 74.1: Specialised design activities (75%)</w:t>
            </w:r>
          </w:p>
        </w:tc>
      </w:tr>
      <w:tr w:rsidR="002C300C" w:rsidRPr="00736486" w14:paraId="05F705AC" w14:textId="77777777" w:rsidTr="002C300C">
        <w:trPr>
          <w:gridAfter w:val="1"/>
          <w:wAfter w:w="12" w:type="dxa"/>
          <w:trHeight w:val="270"/>
        </w:trPr>
        <w:tc>
          <w:tcPr>
            <w:tcW w:w="1701" w:type="dxa"/>
            <w:vMerge/>
            <w:tcBorders>
              <w:left w:val="single" w:sz="4" w:space="0" w:color="auto"/>
              <w:bottom w:val="single" w:sz="8" w:space="0" w:color="000000"/>
              <w:right w:val="single" w:sz="4" w:space="0" w:color="auto"/>
            </w:tcBorders>
            <w:shd w:val="clear" w:color="auto" w:fill="auto"/>
            <w:vAlign w:val="center"/>
          </w:tcPr>
          <w:p w14:paraId="25E0856E" w14:textId="77777777" w:rsidR="002C300C" w:rsidRPr="00736486" w:rsidRDefault="002C300C" w:rsidP="002C300C">
            <w:pPr>
              <w:rPr>
                <w:rFonts w:cs="Arial"/>
                <w:b/>
                <w:bCs/>
                <w:color w:val="000000" w:themeColor="text1"/>
                <w:szCs w:val="24"/>
              </w:rPr>
            </w:pPr>
          </w:p>
        </w:tc>
        <w:tc>
          <w:tcPr>
            <w:tcW w:w="7479"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14:paraId="316B8C6D" w14:textId="1E604977" w:rsidR="002C300C" w:rsidRPr="00736486" w:rsidRDefault="002C300C" w:rsidP="002C300C">
            <w:pPr>
              <w:rPr>
                <w:rFonts w:cs="Arial"/>
                <w:color w:val="000000" w:themeColor="text1"/>
                <w:szCs w:val="24"/>
              </w:rPr>
            </w:pPr>
            <w:r>
              <w:rPr>
                <w:rFonts w:cs="Arial"/>
                <w:color w:val="000000"/>
                <w:szCs w:val="24"/>
              </w:rPr>
              <w:t xml:space="preserve">SIC </w:t>
            </w:r>
            <w:r w:rsidRPr="00736486">
              <w:rPr>
                <w:rFonts w:cs="Arial"/>
                <w:color w:val="000000"/>
                <w:szCs w:val="24"/>
              </w:rPr>
              <w:t>70.21: Public relations and communication activities</w:t>
            </w:r>
          </w:p>
        </w:tc>
      </w:tr>
      <w:tr w:rsidR="002C300C" w:rsidRPr="00736486" w14:paraId="69729D9C" w14:textId="77777777" w:rsidTr="002C300C">
        <w:trPr>
          <w:gridAfter w:val="1"/>
          <w:wAfter w:w="12" w:type="dxa"/>
          <w:trHeight w:val="255"/>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C24353" w14:textId="77777777" w:rsidR="002C300C" w:rsidRPr="00736486" w:rsidRDefault="002C300C" w:rsidP="002C300C">
            <w:pPr>
              <w:jc w:val="center"/>
              <w:rPr>
                <w:rFonts w:cs="Arial"/>
                <w:b/>
                <w:bCs/>
                <w:color w:val="000000" w:themeColor="text1"/>
                <w:szCs w:val="24"/>
              </w:rPr>
            </w:pPr>
            <w:r w:rsidRPr="00736486">
              <w:rPr>
                <w:rFonts w:cs="Arial"/>
                <w:b/>
                <w:bCs/>
                <w:color w:val="000000" w:themeColor="text1"/>
                <w:szCs w:val="24"/>
              </w:rPr>
              <w:t>Performance</w:t>
            </w:r>
          </w:p>
        </w:tc>
        <w:tc>
          <w:tcPr>
            <w:tcW w:w="7479" w:type="dxa"/>
            <w:tcBorders>
              <w:top w:val="nil"/>
              <w:left w:val="nil"/>
              <w:bottom w:val="single" w:sz="4" w:space="0" w:color="auto"/>
              <w:right w:val="single" w:sz="8" w:space="0" w:color="auto"/>
            </w:tcBorders>
            <w:shd w:val="clear" w:color="auto" w:fill="auto"/>
            <w:vAlign w:val="center"/>
            <w:hideMark/>
          </w:tcPr>
          <w:p w14:paraId="2A06FF08" w14:textId="77777777" w:rsidR="002C300C" w:rsidRPr="00736486" w:rsidRDefault="002C300C" w:rsidP="002C300C">
            <w:pPr>
              <w:rPr>
                <w:rFonts w:cs="Arial"/>
                <w:color w:val="000000" w:themeColor="text1"/>
                <w:szCs w:val="24"/>
              </w:rPr>
            </w:pPr>
            <w:r w:rsidRPr="00736486">
              <w:rPr>
                <w:rFonts w:cs="Arial"/>
                <w:color w:val="000000" w:themeColor="text1"/>
                <w:szCs w:val="24"/>
              </w:rPr>
              <w:t>SIC 90.01: Performing arts</w:t>
            </w:r>
          </w:p>
        </w:tc>
      </w:tr>
      <w:tr w:rsidR="002C300C" w:rsidRPr="00736486" w14:paraId="5702EB34" w14:textId="77777777" w:rsidTr="002C300C">
        <w:trPr>
          <w:gridAfter w:val="1"/>
          <w:wAfter w:w="12" w:type="dxa"/>
          <w:trHeight w:val="255"/>
        </w:trPr>
        <w:tc>
          <w:tcPr>
            <w:tcW w:w="1701" w:type="dxa"/>
            <w:vMerge/>
            <w:tcBorders>
              <w:top w:val="nil"/>
              <w:left w:val="single" w:sz="8" w:space="0" w:color="auto"/>
              <w:bottom w:val="single" w:sz="8" w:space="0" w:color="000000"/>
              <w:right w:val="single" w:sz="8" w:space="0" w:color="auto"/>
            </w:tcBorders>
            <w:shd w:val="clear" w:color="auto" w:fill="auto"/>
            <w:vAlign w:val="center"/>
            <w:hideMark/>
          </w:tcPr>
          <w:p w14:paraId="6D15635A"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2F011156" w14:textId="77777777" w:rsidR="002C300C" w:rsidRPr="00736486" w:rsidRDefault="002C300C" w:rsidP="002C300C">
            <w:pPr>
              <w:rPr>
                <w:rFonts w:cs="Arial"/>
                <w:color w:val="000000" w:themeColor="text1"/>
                <w:szCs w:val="24"/>
              </w:rPr>
            </w:pPr>
            <w:r w:rsidRPr="00736486">
              <w:rPr>
                <w:rFonts w:cs="Arial"/>
                <w:color w:val="000000" w:themeColor="text1"/>
                <w:szCs w:val="24"/>
              </w:rPr>
              <w:t>SIC 90.02: Support activities to performing arts</w:t>
            </w:r>
          </w:p>
        </w:tc>
      </w:tr>
      <w:tr w:rsidR="002C300C" w:rsidRPr="00736486" w14:paraId="7E707B60" w14:textId="77777777" w:rsidTr="002C300C">
        <w:trPr>
          <w:gridAfter w:val="1"/>
          <w:wAfter w:w="12" w:type="dxa"/>
          <w:trHeight w:val="255"/>
        </w:trPr>
        <w:tc>
          <w:tcPr>
            <w:tcW w:w="1701" w:type="dxa"/>
            <w:vMerge/>
            <w:tcBorders>
              <w:top w:val="nil"/>
              <w:left w:val="single" w:sz="8" w:space="0" w:color="auto"/>
              <w:bottom w:val="single" w:sz="8" w:space="0" w:color="000000"/>
              <w:right w:val="single" w:sz="8" w:space="0" w:color="auto"/>
            </w:tcBorders>
            <w:shd w:val="clear" w:color="auto" w:fill="auto"/>
            <w:vAlign w:val="center"/>
            <w:hideMark/>
          </w:tcPr>
          <w:p w14:paraId="2606175D"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6CE3E90D" w14:textId="77777777" w:rsidR="002C300C" w:rsidRPr="00736486" w:rsidRDefault="002C300C" w:rsidP="002C300C">
            <w:pPr>
              <w:rPr>
                <w:rFonts w:cs="Arial"/>
                <w:color w:val="000000" w:themeColor="text1"/>
                <w:szCs w:val="24"/>
              </w:rPr>
            </w:pPr>
            <w:r w:rsidRPr="00736486">
              <w:rPr>
                <w:rFonts w:cs="Arial"/>
                <w:color w:val="000000" w:themeColor="text1"/>
                <w:szCs w:val="24"/>
              </w:rPr>
              <w:t>SIC 90.04: Operation of arts facilities</w:t>
            </w:r>
          </w:p>
        </w:tc>
      </w:tr>
      <w:tr w:rsidR="002C300C" w:rsidRPr="00736486" w14:paraId="6AFF34E5" w14:textId="77777777" w:rsidTr="002C300C">
        <w:trPr>
          <w:gridAfter w:val="1"/>
          <w:wAfter w:w="12" w:type="dxa"/>
          <w:trHeight w:val="270"/>
        </w:trPr>
        <w:tc>
          <w:tcPr>
            <w:tcW w:w="1701" w:type="dxa"/>
            <w:vMerge/>
            <w:tcBorders>
              <w:top w:val="nil"/>
              <w:left w:val="single" w:sz="8" w:space="0" w:color="auto"/>
              <w:bottom w:val="single" w:sz="8" w:space="0" w:color="000000"/>
              <w:right w:val="single" w:sz="8" w:space="0" w:color="auto"/>
            </w:tcBorders>
            <w:shd w:val="clear" w:color="auto" w:fill="auto"/>
            <w:vAlign w:val="center"/>
            <w:hideMark/>
          </w:tcPr>
          <w:p w14:paraId="3C3A0231"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0D64B1A1" w14:textId="77777777" w:rsidR="002C300C" w:rsidRPr="00736486" w:rsidRDefault="002C300C" w:rsidP="002C300C">
            <w:pPr>
              <w:rPr>
                <w:rFonts w:cs="Arial"/>
                <w:color w:val="000000" w:themeColor="text1"/>
                <w:szCs w:val="24"/>
              </w:rPr>
            </w:pPr>
            <w:r w:rsidRPr="00736486">
              <w:rPr>
                <w:rFonts w:cs="Arial"/>
                <w:color w:val="000000" w:themeColor="text1"/>
                <w:szCs w:val="24"/>
              </w:rPr>
              <w:t>SIC 78.10/1: Motion picture, television and other theatrical casting</w:t>
            </w:r>
          </w:p>
        </w:tc>
      </w:tr>
      <w:tr w:rsidR="002C300C" w:rsidRPr="00736486" w14:paraId="46616181" w14:textId="77777777" w:rsidTr="002C300C">
        <w:trPr>
          <w:gridAfter w:val="1"/>
          <w:wAfter w:w="12" w:type="dxa"/>
          <w:trHeight w:val="255"/>
        </w:trPr>
        <w:tc>
          <w:tcPr>
            <w:tcW w:w="1701" w:type="dxa"/>
            <w:vMerge w:val="restart"/>
            <w:tcBorders>
              <w:top w:val="nil"/>
              <w:left w:val="single" w:sz="8" w:space="0" w:color="auto"/>
              <w:right w:val="single" w:sz="8" w:space="0" w:color="auto"/>
            </w:tcBorders>
            <w:shd w:val="clear" w:color="auto" w:fill="auto"/>
            <w:noWrap/>
            <w:vAlign w:val="center"/>
            <w:hideMark/>
          </w:tcPr>
          <w:p w14:paraId="5B9D1300" w14:textId="77777777" w:rsidR="002C300C" w:rsidRPr="00736486" w:rsidRDefault="002C300C" w:rsidP="002C300C">
            <w:pPr>
              <w:jc w:val="center"/>
              <w:rPr>
                <w:rFonts w:cs="Arial"/>
                <w:b/>
                <w:bCs/>
                <w:color w:val="000000" w:themeColor="text1"/>
                <w:szCs w:val="24"/>
              </w:rPr>
            </w:pPr>
            <w:r w:rsidRPr="00736486">
              <w:rPr>
                <w:rFonts w:cs="Arial"/>
                <w:b/>
                <w:bCs/>
                <w:color w:val="000000" w:themeColor="text1"/>
                <w:szCs w:val="24"/>
              </w:rPr>
              <w:t>Audio-Visual</w:t>
            </w:r>
          </w:p>
        </w:tc>
        <w:tc>
          <w:tcPr>
            <w:tcW w:w="7479" w:type="dxa"/>
            <w:tcBorders>
              <w:top w:val="nil"/>
              <w:left w:val="nil"/>
              <w:bottom w:val="single" w:sz="4" w:space="0" w:color="auto"/>
              <w:right w:val="single" w:sz="8" w:space="0" w:color="auto"/>
            </w:tcBorders>
            <w:shd w:val="clear" w:color="auto" w:fill="auto"/>
            <w:vAlign w:val="center"/>
            <w:hideMark/>
          </w:tcPr>
          <w:p w14:paraId="6BCA2E5C" w14:textId="77777777" w:rsidR="002C300C" w:rsidRPr="00736486" w:rsidRDefault="002C300C" w:rsidP="002C300C">
            <w:pPr>
              <w:rPr>
                <w:rFonts w:cs="Arial"/>
                <w:color w:val="000000" w:themeColor="text1"/>
                <w:szCs w:val="24"/>
              </w:rPr>
            </w:pPr>
            <w:r w:rsidRPr="00736486">
              <w:rPr>
                <w:rFonts w:cs="Arial"/>
                <w:color w:val="000000" w:themeColor="text1"/>
                <w:szCs w:val="24"/>
              </w:rPr>
              <w:t>SIC 59.2: Sound recording and music publishing activities</w:t>
            </w:r>
          </w:p>
        </w:tc>
      </w:tr>
      <w:tr w:rsidR="002C300C" w:rsidRPr="00736486" w14:paraId="2F00FE31"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20E662DD"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531A321A" w14:textId="77777777" w:rsidR="002C300C" w:rsidRPr="00736486" w:rsidRDefault="002C300C" w:rsidP="002C300C">
            <w:pPr>
              <w:rPr>
                <w:rFonts w:cs="Arial"/>
                <w:color w:val="000000" w:themeColor="text1"/>
                <w:szCs w:val="24"/>
              </w:rPr>
            </w:pPr>
            <w:r w:rsidRPr="00736486">
              <w:rPr>
                <w:rFonts w:cs="Arial"/>
                <w:color w:val="000000" w:themeColor="text1"/>
                <w:szCs w:val="24"/>
              </w:rPr>
              <w:t>SIC 18.20/1: Reproduction of sound recording</w:t>
            </w:r>
          </w:p>
        </w:tc>
      </w:tr>
      <w:tr w:rsidR="002C300C" w:rsidRPr="00736486" w14:paraId="3CD9DA3F"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hideMark/>
          </w:tcPr>
          <w:p w14:paraId="5424631C"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42C93A99" w14:textId="77777777" w:rsidR="002C300C" w:rsidRPr="00736486" w:rsidRDefault="002C300C" w:rsidP="002C300C">
            <w:pPr>
              <w:rPr>
                <w:rFonts w:cs="Arial"/>
                <w:color w:val="000000" w:themeColor="text1"/>
                <w:szCs w:val="24"/>
              </w:rPr>
            </w:pPr>
            <w:r w:rsidRPr="00736486">
              <w:rPr>
                <w:rFonts w:cs="Arial"/>
                <w:color w:val="000000" w:themeColor="text1"/>
                <w:szCs w:val="24"/>
              </w:rPr>
              <w:t>SIC 32.2: Manufacture of musical instruments</w:t>
            </w:r>
          </w:p>
        </w:tc>
      </w:tr>
      <w:tr w:rsidR="002C300C" w:rsidRPr="00736486" w14:paraId="411284EE"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0C96747D"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20964CF1" w14:textId="77777777" w:rsidR="002C300C" w:rsidRPr="00736486" w:rsidRDefault="002C300C" w:rsidP="002C300C">
            <w:pPr>
              <w:rPr>
                <w:rFonts w:cs="Arial"/>
                <w:color w:val="000000" w:themeColor="text1"/>
                <w:szCs w:val="24"/>
              </w:rPr>
            </w:pPr>
            <w:r w:rsidRPr="00736486">
              <w:rPr>
                <w:rFonts w:cs="Arial"/>
                <w:color w:val="000000" w:themeColor="text1"/>
                <w:szCs w:val="24"/>
              </w:rPr>
              <w:t>SIC 74.20/1: Portrait photographic activities</w:t>
            </w:r>
          </w:p>
        </w:tc>
      </w:tr>
      <w:tr w:rsidR="002C300C" w:rsidRPr="00736486" w14:paraId="2D908F52"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7E8284F6"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0C04C1EE" w14:textId="77777777" w:rsidR="002C300C" w:rsidRPr="00736486" w:rsidRDefault="002C300C" w:rsidP="002C300C">
            <w:pPr>
              <w:rPr>
                <w:rFonts w:cs="Arial"/>
                <w:color w:val="000000" w:themeColor="text1"/>
                <w:szCs w:val="24"/>
              </w:rPr>
            </w:pPr>
            <w:r w:rsidRPr="00736486">
              <w:rPr>
                <w:rFonts w:cs="Arial"/>
                <w:color w:val="000000" w:themeColor="text1"/>
                <w:szCs w:val="24"/>
              </w:rPr>
              <w:t>SIC 74.20/2: Other specialist photography (not including portrait photography)</w:t>
            </w:r>
          </w:p>
        </w:tc>
      </w:tr>
      <w:tr w:rsidR="002C300C" w:rsidRPr="00736486" w14:paraId="55A41100" w14:textId="77777777" w:rsidTr="002C300C">
        <w:trPr>
          <w:gridAfter w:val="1"/>
          <w:wAfter w:w="12" w:type="dxa"/>
          <w:trHeight w:val="525"/>
        </w:trPr>
        <w:tc>
          <w:tcPr>
            <w:tcW w:w="1701" w:type="dxa"/>
            <w:vMerge/>
            <w:tcBorders>
              <w:left w:val="single" w:sz="8" w:space="0" w:color="auto"/>
              <w:right w:val="single" w:sz="8" w:space="0" w:color="auto"/>
            </w:tcBorders>
            <w:shd w:val="clear" w:color="auto" w:fill="auto"/>
            <w:vAlign w:val="center"/>
            <w:hideMark/>
          </w:tcPr>
          <w:p w14:paraId="1DD6F7AF"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2EF05971" w14:textId="77777777" w:rsidR="002C300C" w:rsidRPr="00736486" w:rsidRDefault="002C300C" w:rsidP="002C300C">
            <w:pPr>
              <w:rPr>
                <w:rFonts w:cs="Arial"/>
                <w:color w:val="000000" w:themeColor="text1"/>
                <w:szCs w:val="24"/>
              </w:rPr>
            </w:pPr>
            <w:r w:rsidRPr="00736486">
              <w:rPr>
                <w:rFonts w:cs="Arial"/>
                <w:color w:val="000000" w:themeColor="text1"/>
                <w:szCs w:val="24"/>
              </w:rPr>
              <w:t xml:space="preserve">SIC 74.20/9: Other photographic activities (not including portrait and other specialist photography and film processing) </w:t>
            </w:r>
            <w:proofErr w:type="spellStart"/>
            <w:r w:rsidRPr="00736486">
              <w:rPr>
                <w:rFonts w:cs="Arial"/>
                <w:color w:val="000000" w:themeColor="text1"/>
                <w:szCs w:val="24"/>
              </w:rPr>
              <w:t>n.e.c.</w:t>
            </w:r>
            <w:proofErr w:type="spellEnd"/>
          </w:p>
        </w:tc>
      </w:tr>
      <w:tr w:rsidR="002C300C" w:rsidRPr="00736486" w14:paraId="2DC6BE5F"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22D1BBF"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55620E2D" w14:textId="77777777" w:rsidR="002C300C" w:rsidRPr="00736486" w:rsidRDefault="002C300C" w:rsidP="002C300C">
            <w:pPr>
              <w:rPr>
                <w:rFonts w:cs="Arial"/>
                <w:color w:val="000000" w:themeColor="text1"/>
                <w:szCs w:val="24"/>
              </w:rPr>
            </w:pPr>
            <w:r w:rsidRPr="00736486">
              <w:rPr>
                <w:rFonts w:cs="Arial"/>
                <w:color w:val="000000" w:themeColor="text1"/>
                <w:szCs w:val="24"/>
              </w:rPr>
              <w:t>SIC 18.20/2: Reproduction of video recording</w:t>
            </w:r>
          </w:p>
        </w:tc>
      </w:tr>
      <w:tr w:rsidR="002C300C" w:rsidRPr="00736486" w14:paraId="65538B96"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3C821D2D"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0D17CE57" w14:textId="77777777" w:rsidR="002C300C" w:rsidRPr="00736486" w:rsidRDefault="002C300C" w:rsidP="002C300C">
            <w:pPr>
              <w:rPr>
                <w:rFonts w:cs="Arial"/>
                <w:color w:val="000000" w:themeColor="text1"/>
                <w:szCs w:val="24"/>
              </w:rPr>
            </w:pPr>
            <w:r w:rsidRPr="00736486">
              <w:rPr>
                <w:rFonts w:cs="Arial"/>
                <w:color w:val="000000" w:themeColor="text1"/>
                <w:szCs w:val="24"/>
              </w:rPr>
              <w:t>SIC 59.11/1: Motion picture production activities</w:t>
            </w:r>
          </w:p>
        </w:tc>
      </w:tr>
      <w:tr w:rsidR="002C300C" w:rsidRPr="00736486" w14:paraId="4808B4F1"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511EEB3C"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08372EBD" w14:textId="77777777" w:rsidR="002C300C" w:rsidRPr="00736486" w:rsidRDefault="002C300C" w:rsidP="002C300C">
            <w:pPr>
              <w:rPr>
                <w:rFonts w:cs="Arial"/>
                <w:color w:val="000000" w:themeColor="text1"/>
                <w:szCs w:val="24"/>
              </w:rPr>
            </w:pPr>
            <w:r w:rsidRPr="00736486">
              <w:rPr>
                <w:rFonts w:cs="Arial"/>
                <w:color w:val="000000" w:themeColor="text1"/>
                <w:szCs w:val="24"/>
              </w:rPr>
              <w:t>SIC 59.11/2: Video production activities</w:t>
            </w:r>
          </w:p>
        </w:tc>
      </w:tr>
      <w:tr w:rsidR="002C300C" w:rsidRPr="00736486" w14:paraId="54B738D9"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11268CE"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098F2CD2" w14:textId="77777777" w:rsidR="002C300C" w:rsidRPr="00736486" w:rsidRDefault="002C300C" w:rsidP="002C300C">
            <w:pPr>
              <w:rPr>
                <w:rFonts w:cs="Arial"/>
                <w:color w:val="000000" w:themeColor="text1"/>
                <w:szCs w:val="24"/>
              </w:rPr>
            </w:pPr>
            <w:r w:rsidRPr="00736486">
              <w:rPr>
                <w:rFonts w:cs="Arial"/>
                <w:color w:val="000000" w:themeColor="text1"/>
                <w:szCs w:val="24"/>
              </w:rPr>
              <w:t>SIC 59.12: Motion picture, video and television programme post-production activities (25%)</w:t>
            </w:r>
          </w:p>
        </w:tc>
      </w:tr>
      <w:tr w:rsidR="002C300C" w:rsidRPr="00736486" w14:paraId="1C9B71D9"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40CBE64"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7B5590A8" w14:textId="77777777" w:rsidR="002C300C" w:rsidRPr="00736486" w:rsidRDefault="002C300C" w:rsidP="002C300C">
            <w:pPr>
              <w:rPr>
                <w:rFonts w:cs="Arial"/>
                <w:color w:val="000000" w:themeColor="text1"/>
                <w:szCs w:val="24"/>
              </w:rPr>
            </w:pPr>
            <w:r w:rsidRPr="00736486">
              <w:rPr>
                <w:rFonts w:cs="Arial"/>
                <w:color w:val="000000" w:themeColor="text1"/>
                <w:szCs w:val="24"/>
              </w:rPr>
              <w:t>SIC 59.13/1: Motion picture distribution activities</w:t>
            </w:r>
          </w:p>
        </w:tc>
      </w:tr>
      <w:tr w:rsidR="002C300C" w:rsidRPr="00736486" w14:paraId="03F520CD"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26B4C34"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noWrap/>
            <w:vAlign w:val="center"/>
            <w:hideMark/>
          </w:tcPr>
          <w:p w14:paraId="607858D7" w14:textId="77777777" w:rsidR="002C300C" w:rsidRPr="00736486" w:rsidRDefault="002C300C" w:rsidP="002C300C">
            <w:pPr>
              <w:rPr>
                <w:rFonts w:cs="Arial"/>
                <w:color w:val="000000" w:themeColor="text1"/>
                <w:szCs w:val="24"/>
              </w:rPr>
            </w:pPr>
            <w:r w:rsidRPr="00736486">
              <w:rPr>
                <w:rFonts w:cs="Arial"/>
                <w:color w:val="000000" w:themeColor="text1"/>
                <w:szCs w:val="24"/>
              </w:rPr>
              <w:t>SIC 59.13/2: Video distribution activities</w:t>
            </w:r>
          </w:p>
        </w:tc>
      </w:tr>
      <w:tr w:rsidR="002C300C" w:rsidRPr="00736486" w14:paraId="3F48228E"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hideMark/>
          </w:tcPr>
          <w:p w14:paraId="6DF81324"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521D0B52" w14:textId="77777777" w:rsidR="002C300C" w:rsidRPr="00736486" w:rsidRDefault="002C300C" w:rsidP="002C300C">
            <w:pPr>
              <w:rPr>
                <w:rFonts w:cs="Arial"/>
                <w:color w:val="000000" w:themeColor="text1"/>
                <w:szCs w:val="24"/>
              </w:rPr>
            </w:pPr>
            <w:r w:rsidRPr="00736486">
              <w:rPr>
                <w:rFonts w:cs="Arial"/>
                <w:color w:val="000000" w:themeColor="text1"/>
                <w:szCs w:val="24"/>
              </w:rPr>
              <w:t>SIC 59.14: Motion picture projection activities</w:t>
            </w:r>
          </w:p>
        </w:tc>
      </w:tr>
      <w:tr w:rsidR="002C300C" w:rsidRPr="00736486" w14:paraId="062683C6"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4D626C4A"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010A608C" w14:textId="77777777" w:rsidR="002C300C" w:rsidRPr="00736486" w:rsidRDefault="002C300C" w:rsidP="002C300C">
            <w:pPr>
              <w:rPr>
                <w:rFonts w:cs="Arial"/>
                <w:color w:val="000000" w:themeColor="text1"/>
                <w:szCs w:val="24"/>
              </w:rPr>
            </w:pPr>
            <w:r w:rsidRPr="00736486">
              <w:rPr>
                <w:rFonts w:cs="Arial"/>
                <w:color w:val="000000" w:themeColor="text1"/>
                <w:szCs w:val="24"/>
              </w:rPr>
              <w:t>SIC 58.21: Publishing of computer games</w:t>
            </w:r>
          </w:p>
        </w:tc>
      </w:tr>
      <w:tr w:rsidR="002C300C" w:rsidRPr="00736486" w14:paraId="2090C37E"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hideMark/>
          </w:tcPr>
          <w:p w14:paraId="0E99FD27"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1DB414DA" w14:textId="77777777" w:rsidR="002C300C" w:rsidRPr="00736486" w:rsidRDefault="002C300C" w:rsidP="002C300C">
            <w:pPr>
              <w:rPr>
                <w:rFonts w:cs="Arial"/>
                <w:color w:val="000000" w:themeColor="text1"/>
                <w:szCs w:val="24"/>
              </w:rPr>
            </w:pPr>
            <w:r w:rsidRPr="00736486">
              <w:rPr>
                <w:rFonts w:cs="Arial"/>
                <w:color w:val="000000" w:themeColor="text1"/>
                <w:szCs w:val="24"/>
              </w:rPr>
              <w:t>SIC 62.01/1: Ready-made interactive leisure and entertainment software development</w:t>
            </w:r>
          </w:p>
        </w:tc>
      </w:tr>
      <w:tr w:rsidR="002C300C" w:rsidRPr="00736486" w14:paraId="0A8FAC9D"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6CA87982"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406C01D9" w14:textId="77777777" w:rsidR="002C300C" w:rsidRPr="00736486" w:rsidRDefault="002C300C" w:rsidP="002C300C">
            <w:pPr>
              <w:rPr>
                <w:rFonts w:cs="Arial"/>
                <w:color w:val="000000" w:themeColor="text1"/>
                <w:szCs w:val="24"/>
              </w:rPr>
            </w:pPr>
            <w:r w:rsidRPr="00736486">
              <w:rPr>
                <w:rFonts w:cs="Arial"/>
                <w:color w:val="000000" w:themeColor="text1"/>
                <w:szCs w:val="24"/>
              </w:rPr>
              <w:t>SIC 59.11/3: Television programme production activities</w:t>
            </w:r>
          </w:p>
        </w:tc>
      </w:tr>
      <w:tr w:rsidR="002C300C" w:rsidRPr="00736486" w14:paraId="4B65A0F4"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44DDC127"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7D734D33" w14:textId="77777777" w:rsidR="002C300C" w:rsidRPr="00736486" w:rsidRDefault="002C300C" w:rsidP="002C300C">
            <w:pPr>
              <w:rPr>
                <w:rFonts w:cs="Arial"/>
                <w:color w:val="000000" w:themeColor="text1"/>
                <w:szCs w:val="24"/>
              </w:rPr>
            </w:pPr>
            <w:r w:rsidRPr="00736486">
              <w:rPr>
                <w:rFonts w:cs="Arial"/>
                <w:color w:val="000000" w:themeColor="text1"/>
                <w:szCs w:val="24"/>
              </w:rPr>
              <w:t>SIC 59.13/3: Television programme distribution activities</w:t>
            </w:r>
          </w:p>
        </w:tc>
      </w:tr>
      <w:tr w:rsidR="002C300C" w:rsidRPr="00736486" w14:paraId="513D1EA3"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4DC7B32"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61E2B4C0" w14:textId="77777777" w:rsidR="002C300C" w:rsidRPr="00736486" w:rsidRDefault="002C300C" w:rsidP="002C300C">
            <w:pPr>
              <w:rPr>
                <w:rFonts w:cs="Arial"/>
                <w:color w:val="000000" w:themeColor="text1"/>
                <w:szCs w:val="24"/>
              </w:rPr>
            </w:pPr>
            <w:r w:rsidRPr="00736486">
              <w:rPr>
                <w:rFonts w:cs="Arial"/>
                <w:color w:val="000000" w:themeColor="text1"/>
                <w:szCs w:val="24"/>
              </w:rPr>
              <w:t>SIC 59.12: Motion picture, video and television programme post-production activities (75%)</w:t>
            </w:r>
          </w:p>
        </w:tc>
      </w:tr>
      <w:tr w:rsidR="002C300C" w:rsidRPr="00736486" w14:paraId="3EC5B22F"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30CD3AD8"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473E5EBF" w14:textId="77777777" w:rsidR="002C300C" w:rsidRPr="00736486" w:rsidRDefault="002C300C" w:rsidP="002C300C">
            <w:pPr>
              <w:rPr>
                <w:rFonts w:cs="Arial"/>
                <w:color w:val="000000" w:themeColor="text1"/>
                <w:szCs w:val="24"/>
              </w:rPr>
            </w:pPr>
            <w:r w:rsidRPr="00736486">
              <w:rPr>
                <w:rFonts w:cs="Arial"/>
                <w:color w:val="000000" w:themeColor="text1"/>
                <w:szCs w:val="24"/>
              </w:rPr>
              <w:t>SIC 60.1: Radio broadcasting</w:t>
            </w:r>
          </w:p>
        </w:tc>
      </w:tr>
      <w:tr w:rsidR="002C300C" w:rsidRPr="00736486" w14:paraId="63F07B7A"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hideMark/>
          </w:tcPr>
          <w:p w14:paraId="41518506"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2BA7EB09" w14:textId="77777777" w:rsidR="002C300C" w:rsidRPr="00736486" w:rsidRDefault="002C300C" w:rsidP="002C300C">
            <w:pPr>
              <w:rPr>
                <w:rFonts w:cs="Arial"/>
                <w:color w:val="000000" w:themeColor="text1"/>
                <w:szCs w:val="24"/>
              </w:rPr>
            </w:pPr>
            <w:r w:rsidRPr="00736486">
              <w:rPr>
                <w:rFonts w:cs="Arial"/>
                <w:color w:val="000000" w:themeColor="text1"/>
                <w:szCs w:val="24"/>
              </w:rPr>
              <w:t>SIC 60.2: Television programming and broadcasting activities</w:t>
            </w:r>
          </w:p>
        </w:tc>
      </w:tr>
      <w:tr w:rsidR="002C300C" w:rsidRPr="00736486" w14:paraId="68219371"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tcPr>
          <w:p w14:paraId="342DBE73"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D9D9D9" w:themeFill="background1" w:themeFillShade="D9"/>
            <w:vAlign w:val="center"/>
          </w:tcPr>
          <w:p w14:paraId="59F005F6" w14:textId="4651FB16" w:rsidR="002C300C" w:rsidRPr="00736486" w:rsidRDefault="002C300C" w:rsidP="002C300C">
            <w:pPr>
              <w:rPr>
                <w:rFonts w:cs="Arial"/>
                <w:color w:val="000000" w:themeColor="text1"/>
                <w:szCs w:val="24"/>
              </w:rPr>
            </w:pPr>
            <w:r>
              <w:rPr>
                <w:rFonts w:cs="Arial"/>
                <w:color w:val="000000"/>
                <w:szCs w:val="24"/>
              </w:rPr>
              <w:t xml:space="preserve">SIC </w:t>
            </w:r>
            <w:r w:rsidRPr="00736486">
              <w:rPr>
                <w:rFonts w:cs="Arial"/>
                <w:color w:val="000000"/>
                <w:szCs w:val="24"/>
              </w:rPr>
              <w:t>47.63: Retail sale of music and video recordings in specialised stores</w:t>
            </w:r>
          </w:p>
        </w:tc>
      </w:tr>
      <w:tr w:rsidR="002C300C" w:rsidRPr="00736486" w14:paraId="47A597ED"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tcPr>
          <w:p w14:paraId="3FA44B20"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D9D9D9" w:themeFill="background1" w:themeFillShade="D9"/>
            <w:vAlign w:val="center"/>
          </w:tcPr>
          <w:p w14:paraId="1CE2E631" w14:textId="124546DC" w:rsidR="002C300C" w:rsidRPr="00736486" w:rsidRDefault="002C300C" w:rsidP="002C300C">
            <w:pPr>
              <w:rPr>
                <w:rFonts w:cs="Arial"/>
                <w:color w:val="000000" w:themeColor="text1"/>
                <w:szCs w:val="24"/>
              </w:rPr>
            </w:pPr>
            <w:r>
              <w:rPr>
                <w:rFonts w:cs="Arial"/>
                <w:color w:val="000000"/>
                <w:szCs w:val="24"/>
              </w:rPr>
              <w:t xml:space="preserve">SIC </w:t>
            </w:r>
            <w:r w:rsidRPr="00736486">
              <w:rPr>
                <w:rFonts w:cs="Arial"/>
                <w:color w:val="000000"/>
                <w:szCs w:val="24"/>
              </w:rPr>
              <w:t>47.59/1: Retail sale of musical instruments and scores in specialised stores</w:t>
            </w:r>
          </w:p>
        </w:tc>
      </w:tr>
      <w:tr w:rsidR="002C300C" w:rsidRPr="00736486" w14:paraId="6C4C4B6B"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tcPr>
          <w:p w14:paraId="0A500E57"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D9D9D9" w:themeFill="background1" w:themeFillShade="D9"/>
            <w:vAlign w:val="center"/>
          </w:tcPr>
          <w:p w14:paraId="3C42DE05" w14:textId="60A1EDF2" w:rsidR="002C300C" w:rsidRPr="00736486" w:rsidRDefault="002C300C" w:rsidP="002C300C">
            <w:pPr>
              <w:rPr>
                <w:rFonts w:cs="Arial"/>
                <w:color w:val="000000" w:themeColor="text1"/>
                <w:szCs w:val="24"/>
              </w:rPr>
            </w:pPr>
            <w:r>
              <w:rPr>
                <w:rFonts w:cs="Arial"/>
                <w:color w:val="000000"/>
                <w:szCs w:val="24"/>
              </w:rPr>
              <w:t xml:space="preserve">SIC </w:t>
            </w:r>
            <w:r w:rsidRPr="00736486">
              <w:rPr>
                <w:rFonts w:cs="Arial"/>
                <w:color w:val="000000"/>
                <w:szCs w:val="24"/>
              </w:rPr>
              <w:t>74.30: Translation and interpretation activities</w:t>
            </w:r>
          </w:p>
        </w:tc>
      </w:tr>
      <w:tr w:rsidR="002C300C" w:rsidRPr="00736486" w14:paraId="74E59C0C" w14:textId="77777777" w:rsidTr="002C300C">
        <w:trPr>
          <w:gridAfter w:val="1"/>
          <w:wAfter w:w="12" w:type="dxa"/>
          <w:trHeight w:val="270"/>
        </w:trPr>
        <w:tc>
          <w:tcPr>
            <w:tcW w:w="1701" w:type="dxa"/>
            <w:vMerge/>
            <w:tcBorders>
              <w:left w:val="single" w:sz="8" w:space="0" w:color="auto"/>
              <w:bottom w:val="single" w:sz="8" w:space="0" w:color="000000"/>
              <w:right w:val="single" w:sz="8" w:space="0" w:color="auto"/>
            </w:tcBorders>
            <w:shd w:val="clear" w:color="auto" w:fill="auto"/>
            <w:vAlign w:val="center"/>
          </w:tcPr>
          <w:p w14:paraId="62ADC996"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D9D9D9" w:themeFill="background1" w:themeFillShade="D9"/>
            <w:vAlign w:val="center"/>
          </w:tcPr>
          <w:p w14:paraId="401B5DAD" w14:textId="077D1CC4" w:rsidR="002C300C" w:rsidRPr="00736486" w:rsidRDefault="002C300C" w:rsidP="002C300C">
            <w:pPr>
              <w:rPr>
                <w:rFonts w:cs="Arial"/>
                <w:color w:val="000000" w:themeColor="text1"/>
                <w:szCs w:val="24"/>
              </w:rPr>
            </w:pPr>
            <w:r>
              <w:rPr>
                <w:rFonts w:cs="Arial"/>
                <w:color w:val="000000"/>
                <w:szCs w:val="24"/>
              </w:rPr>
              <w:t xml:space="preserve">SIC </w:t>
            </w:r>
            <w:r w:rsidRPr="00736486">
              <w:rPr>
                <w:rFonts w:cs="Arial"/>
                <w:color w:val="000000"/>
                <w:szCs w:val="24"/>
              </w:rPr>
              <w:t>77.22: Renting of video tapes and disks</w:t>
            </w:r>
          </w:p>
        </w:tc>
      </w:tr>
      <w:tr w:rsidR="002C300C" w:rsidRPr="00736486" w14:paraId="2246CA1F" w14:textId="77777777" w:rsidTr="002C300C">
        <w:trPr>
          <w:gridAfter w:val="1"/>
          <w:wAfter w:w="12" w:type="dxa"/>
          <w:trHeight w:val="255"/>
        </w:trPr>
        <w:tc>
          <w:tcPr>
            <w:tcW w:w="1701" w:type="dxa"/>
            <w:vMerge w:val="restart"/>
            <w:tcBorders>
              <w:top w:val="nil"/>
              <w:left w:val="single" w:sz="8" w:space="0" w:color="auto"/>
              <w:right w:val="single" w:sz="8" w:space="0" w:color="auto"/>
            </w:tcBorders>
            <w:shd w:val="clear" w:color="auto" w:fill="auto"/>
            <w:noWrap/>
            <w:vAlign w:val="center"/>
            <w:hideMark/>
          </w:tcPr>
          <w:p w14:paraId="1BBDF4E7" w14:textId="77777777" w:rsidR="002C300C" w:rsidRPr="00736486" w:rsidRDefault="002C300C" w:rsidP="002C300C">
            <w:pPr>
              <w:jc w:val="center"/>
              <w:rPr>
                <w:rFonts w:cs="Arial"/>
                <w:b/>
                <w:bCs/>
                <w:color w:val="000000" w:themeColor="text1"/>
                <w:szCs w:val="24"/>
              </w:rPr>
            </w:pPr>
            <w:r w:rsidRPr="00736486">
              <w:rPr>
                <w:rFonts w:cs="Arial"/>
                <w:b/>
                <w:bCs/>
                <w:color w:val="000000" w:themeColor="text1"/>
                <w:szCs w:val="24"/>
              </w:rPr>
              <w:t>Books and Press</w:t>
            </w:r>
          </w:p>
        </w:tc>
        <w:tc>
          <w:tcPr>
            <w:tcW w:w="7479" w:type="dxa"/>
            <w:tcBorders>
              <w:top w:val="nil"/>
              <w:left w:val="nil"/>
              <w:bottom w:val="single" w:sz="4" w:space="0" w:color="auto"/>
              <w:right w:val="single" w:sz="8" w:space="0" w:color="auto"/>
            </w:tcBorders>
            <w:shd w:val="clear" w:color="auto" w:fill="auto"/>
            <w:vAlign w:val="center"/>
            <w:hideMark/>
          </w:tcPr>
          <w:p w14:paraId="151358EA" w14:textId="77777777" w:rsidR="002C300C" w:rsidRPr="00736486" w:rsidRDefault="002C300C" w:rsidP="002C300C">
            <w:pPr>
              <w:rPr>
                <w:rFonts w:cs="Arial"/>
                <w:color w:val="000000" w:themeColor="text1"/>
                <w:szCs w:val="24"/>
              </w:rPr>
            </w:pPr>
            <w:r w:rsidRPr="00736486">
              <w:rPr>
                <w:rFonts w:cs="Arial"/>
                <w:color w:val="000000" w:themeColor="text1"/>
                <w:szCs w:val="24"/>
              </w:rPr>
              <w:t>SIC 90.03: Artistic creation (30%)</w:t>
            </w:r>
          </w:p>
        </w:tc>
      </w:tr>
      <w:tr w:rsidR="002C300C" w:rsidRPr="00736486" w14:paraId="35C3313D"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0C4DB2F"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4744CEED" w14:textId="77777777" w:rsidR="002C300C" w:rsidRPr="00736486" w:rsidRDefault="002C300C" w:rsidP="002C300C">
            <w:pPr>
              <w:rPr>
                <w:rFonts w:cs="Arial"/>
                <w:color w:val="000000" w:themeColor="text1"/>
                <w:szCs w:val="24"/>
              </w:rPr>
            </w:pPr>
            <w:r w:rsidRPr="00736486">
              <w:rPr>
                <w:rFonts w:cs="Arial"/>
                <w:color w:val="000000" w:themeColor="text1"/>
                <w:szCs w:val="24"/>
              </w:rPr>
              <w:t>SIC 58.11: Book publishing</w:t>
            </w:r>
          </w:p>
        </w:tc>
      </w:tr>
      <w:tr w:rsidR="002C300C" w:rsidRPr="00736486" w14:paraId="15F8FC5B"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C44D484"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7BA577FC" w14:textId="77777777" w:rsidR="002C300C" w:rsidRPr="00736486" w:rsidRDefault="002C300C" w:rsidP="002C300C">
            <w:pPr>
              <w:rPr>
                <w:rFonts w:cs="Arial"/>
                <w:color w:val="000000" w:themeColor="text1"/>
                <w:szCs w:val="24"/>
              </w:rPr>
            </w:pPr>
            <w:r w:rsidRPr="00736486">
              <w:rPr>
                <w:rFonts w:cs="Arial"/>
                <w:color w:val="000000" w:themeColor="text1"/>
                <w:szCs w:val="24"/>
              </w:rPr>
              <w:t>SIC 58.13: Publishing of newspapers</w:t>
            </w:r>
          </w:p>
        </w:tc>
      </w:tr>
      <w:tr w:rsidR="002C300C" w:rsidRPr="00736486" w14:paraId="264CEDEB"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0BF5E1A4"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480C98C1" w14:textId="77777777" w:rsidR="002C300C" w:rsidRPr="00736486" w:rsidRDefault="002C300C" w:rsidP="002C300C">
            <w:pPr>
              <w:rPr>
                <w:rFonts w:cs="Arial"/>
                <w:color w:val="000000" w:themeColor="text1"/>
                <w:szCs w:val="24"/>
              </w:rPr>
            </w:pPr>
            <w:r w:rsidRPr="00736486">
              <w:rPr>
                <w:rFonts w:cs="Arial"/>
                <w:color w:val="000000" w:themeColor="text1"/>
                <w:szCs w:val="24"/>
              </w:rPr>
              <w:t>SIC 58.14: Publishing of journals and periodicals</w:t>
            </w:r>
          </w:p>
        </w:tc>
      </w:tr>
      <w:tr w:rsidR="002C300C" w:rsidRPr="00736486" w14:paraId="6D6BA5CE"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705026FC"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3A65C60D" w14:textId="77777777" w:rsidR="002C300C" w:rsidRPr="00736486" w:rsidRDefault="002C300C" w:rsidP="002C300C">
            <w:pPr>
              <w:rPr>
                <w:rFonts w:cs="Arial"/>
                <w:color w:val="000000" w:themeColor="text1"/>
                <w:szCs w:val="24"/>
              </w:rPr>
            </w:pPr>
            <w:r w:rsidRPr="00736486">
              <w:rPr>
                <w:rFonts w:cs="Arial"/>
                <w:color w:val="000000" w:themeColor="text1"/>
                <w:szCs w:val="24"/>
              </w:rPr>
              <w:t>SIC 58.19: Other publishing activities</w:t>
            </w:r>
          </w:p>
        </w:tc>
      </w:tr>
      <w:tr w:rsidR="002C300C" w:rsidRPr="00736486" w14:paraId="2994EEF1"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55C4BBCE"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1628781F" w14:textId="77777777" w:rsidR="002C300C" w:rsidRPr="00736486" w:rsidRDefault="002C300C" w:rsidP="002C300C">
            <w:pPr>
              <w:rPr>
                <w:rFonts w:cs="Arial"/>
                <w:color w:val="000000" w:themeColor="text1"/>
                <w:szCs w:val="24"/>
              </w:rPr>
            </w:pPr>
            <w:r w:rsidRPr="00736486">
              <w:rPr>
                <w:rFonts w:cs="Arial"/>
                <w:color w:val="000000" w:themeColor="text1"/>
                <w:szCs w:val="24"/>
              </w:rPr>
              <w:t>SIC 18.11: Printing of newspapers</w:t>
            </w:r>
          </w:p>
        </w:tc>
      </w:tr>
      <w:tr w:rsidR="002C300C" w:rsidRPr="00736486" w14:paraId="0ED4B325"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519F576F"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7AC9126C" w14:textId="77777777" w:rsidR="002C300C" w:rsidRPr="00736486" w:rsidRDefault="002C300C" w:rsidP="002C300C">
            <w:pPr>
              <w:rPr>
                <w:rFonts w:cs="Arial"/>
                <w:color w:val="000000" w:themeColor="text1"/>
                <w:szCs w:val="24"/>
              </w:rPr>
            </w:pPr>
            <w:r w:rsidRPr="00736486">
              <w:rPr>
                <w:rFonts w:cs="Arial"/>
                <w:color w:val="000000" w:themeColor="text1"/>
                <w:szCs w:val="24"/>
              </w:rPr>
              <w:t>SIC 18.129: Other printing (not labels)</w:t>
            </w:r>
          </w:p>
        </w:tc>
      </w:tr>
      <w:tr w:rsidR="002C300C" w:rsidRPr="00736486" w14:paraId="0F216859" w14:textId="77777777" w:rsidTr="002C300C">
        <w:trPr>
          <w:gridAfter w:val="1"/>
          <w:wAfter w:w="12" w:type="dxa"/>
          <w:trHeight w:val="255"/>
        </w:trPr>
        <w:tc>
          <w:tcPr>
            <w:tcW w:w="1701" w:type="dxa"/>
            <w:vMerge/>
            <w:tcBorders>
              <w:left w:val="single" w:sz="8" w:space="0" w:color="auto"/>
              <w:right w:val="single" w:sz="8" w:space="0" w:color="auto"/>
            </w:tcBorders>
            <w:shd w:val="clear" w:color="auto" w:fill="auto"/>
            <w:vAlign w:val="center"/>
            <w:hideMark/>
          </w:tcPr>
          <w:p w14:paraId="10E95A4D"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41C073A5" w14:textId="77777777" w:rsidR="002C300C" w:rsidRPr="00736486" w:rsidRDefault="002C300C" w:rsidP="002C300C">
            <w:pPr>
              <w:rPr>
                <w:rFonts w:cs="Arial"/>
                <w:color w:val="000000" w:themeColor="text1"/>
                <w:szCs w:val="24"/>
              </w:rPr>
            </w:pPr>
            <w:r w:rsidRPr="00736486">
              <w:rPr>
                <w:rFonts w:cs="Arial"/>
                <w:color w:val="000000" w:themeColor="text1"/>
                <w:szCs w:val="24"/>
              </w:rPr>
              <w:t>SIC 18.13: Pre press and media services</w:t>
            </w:r>
          </w:p>
        </w:tc>
      </w:tr>
      <w:tr w:rsidR="002C300C" w:rsidRPr="00736486" w14:paraId="12CE29D8"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hideMark/>
          </w:tcPr>
          <w:p w14:paraId="0FACC4EC"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388CF635" w14:textId="77777777" w:rsidR="002C300C" w:rsidRPr="00736486" w:rsidRDefault="002C300C" w:rsidP="002C300C">
            <w:pPr>
              <w:rPr>
                <w:rFonts w:cs="Arial"/>
                <w:color w:val="000000" w:themeColor="text1"/>
                <w:szCs w:val="24"/>
              </w:rPr>
            </w:pPr>
            <w:r w:rsidRPr="00736486">
              <w:rPr>
                <w:rFonts w:cs="Arial"/>
                <w:color w:val="000000" w:themeColor="text1"/>
                <w:szCs w:val="24"/>
              </w:rPr>
              <w:t>SIC 63.91: News agency activities</w:t>
            </w:r>
          </w:p>
        </w:tc>
      </w:tr>
      <w:tr w:rsidR="002C300C" w:rsidRPr="00736486" w14:paraId="70863964" w14:textId="77777777" w:rsidTr="002C300C">
        <w:trPr>
          <w:gridAfter w:val="1"/>
          <w:wAfter w:w="12" w:type="dxa"/>
          <w:trHeight w:val="270"/>
        </w:trPr>
        <w:tc>
          <w:tcPr>
            <w:tcW w:w="1701" w:type="dxa"/>
            <w:vMerge/>
            <w:tcBorders>
              <w:left w:val="single" w:sz="8" w:space="0" w:color="auto"/>
              <w:right w:val="single" w:sz="8" w:space="0" w:color="auto"/>
            </w:tcBorders>
            <w:shd w:val="clear" w:color="auto" w:fill="auto"/>
            <w:vAlign w:val="center"/>
          </w:tcPr>
          <w:p w14:paraId="589503BF"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D9D9D9" w:themeFill="background1" w:themeFillShade="D9"/>
            <w:vAlign w:val="center"/>
          </w:tcPr>
          <w:p w14:paraId="67BD9EE9" w14:textId="30D85C19" w:rsidR="002C300C" w:rsidRPr="00736486" w:rsidRDefault="002C300C" w:rsidP="002C300C">
            <w:pPr>
              <w:rPr>
                <w:rFonts w:cs="Arial"/>
                <w:color w:val="000000" w:themeColor="text1"/>
                <w:szCs w:val="24"/>
              </w:rPr>
            </w:pPr>
            <w:r>
              <w:rPr>
                <w:rFonts w:cs="Arial"/>
                <w:szCs w:val="24"/>
              </w:rPr>
              <w:t xml:space="preserve">SIC </w:t>
            </w:r>
            <w:r w:rsidRPr="00736486">
              <w:rPr>
                <w:rFonts w:cs="Arial"/>
                <w:szCs w:val="24"/>
              </w:rPr>
              <w:t>18.14: Binding and related services</w:t>
            </w:r>
          </w:p>
        </w:tc>
      </w:tr>
      <w:tr w:rsidR="002C300C" w:rsidRPr="00736486" w14:paraId="37D6AC63" w14:textId="77777777" w:rsidTr="002C300C">
        <w:trPr>
          <w:gridAfter w:val="1"/>
          <w:wAfter w:w="12" w:type="dxa"/>
          <w:trHeight w:val="270"/>
        </w:trPr>
        <w:tc>
          <w:tcPr>
            <w:tcW w:w="1701" w:type="dxa"/>
            <w:vMerge/>
            <w:tcBorders>
              <w:left w:val="single" w:sz="8" w:space="0" w:color="auto"/>
              <w:bottom w:val="single" w:sz="8" w:space="0" w:color="000000"/>
              <w:right w:val="single" w:sz="8" w:space="0" w:color="auto"/>
            </w:tcBorders>
            <w:shd w:val="clear" w:color="auto" w:fill="auto"/>
            <w:vAlign w:val="center"/>
          </w:tcPr>
          <w:p w14:paraId="3E86283E"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D9D9D9" w:themeFill="background1" w:themeFillShade="D9"/>
            <w:vAlign w:val="center"/>
          </w:tcPr>
          <w:p w14:paraId="3BC2B641" w14:textId="099D87DD" w:rsidR="002C300C" w:rsidRPr="00736486" w:rsidRDefault="002C300C" w:rsidP="002C300C">
            <w:pPr>
              <w:rPr>
                <w:rFonts w:cs="Arial"/>
                <w:color w:val="000000" w:themeColor="text1"/>
                <w:szCs w:val="24"/>
              </w:rPr>
            </w:pPr>
            <w:r>
              <w:rPr>
                <w:rFonts w:cs="Arial"/>
                <w:szCs w:val="24"/>
              </w:rPr>
              <w:t xml:space="preserve">SIC </w:t>
            </w:r>
            <w:r w:rsidRPr="00736486">
              <w:rPr>
                <w:rFonts w:cs="Arial"/>
                <w:szCs w:val="24"/>
              </w:rPr>
              <w:t>47.61: Retail sale of books in specialised stores</w:t>
            </w:r>
          </w:p>
        </w:tc>
      </w:tr>
      <w:tr w:rsidR="002C300C" w:rsidRPr="00736486" w14:paraId="1E74ECFC" w14:textId="77777777" w:rsidTr="002C300C">
        <w:trPr>
          <w:gridAfter w:val="1"/>
          <w:wAfter w:w="12" w:type="dxa"/>
          <w:trHeight w:val="329"/>
        </w:trPr>
        <w:tc>
          <w:tcPr>
            <w:tcW w:w="1701" w:type="dxa"/>
            <w:vMerge w:val="restart"/>
            <w:tcBorders>
              <w:top w:val="nil"/>
              <w:left w:val="single" w:sz="8" w:space="0" w:color="auto"/>
              <w:right w:val="single" w:sz="8" w:space="0" w:color="auto"/>
            </w:tcBorders>
            <w:shd w:val="clear" w:color="auto" w:fill="auto"/>
            <w:noWrap/>
            <w:vAlign w:val="center"/>
            <w:hideMark/>
          </w:tcPr>
          <w:p w14:paraId="0A280E1A" w14:textId="77777777" w:rsidR="002C300C" w:rsidRPr="00736486" w:rsidRDefault="002C300C" w:rsidP="002C300C">
            <w:pPr>
              <w:jc w:val="center"/>
              <w:rPr>
                <w:rFonts w:cs="Arial"/>
                <w:b/>
                <w:bCs/>
                <w:color w:val="000000" w:themeColor="text1"/>
                <w:szCs w:val="24"/>
              </w:rPr>
            </w:pPr>
            <w:r w:rsidRPr="00736486">
              <w:rPr>
                <w:rFonts w:cs="Arial"/>
                <w:b/>
                <w:bCs/>
                <w:color w:val="000000" w:themeColor="text1"/>
                <w:szCs w:val="24"/>
              </w:rPr>
              <w:t>Heritage</w:t>
            </w:r>
          </w:p>
        </w:tc>
        <w:tc>
          <w:tcPr>
            <w:tcW w:w="7479" w:type="dxa"/>
            <w:tcBorders>
              <w:top w:val="single" w:sz="8" w:space="0" w:color="auto"/>
              <w:left w:val="nil"/>
              <w:bottom w:val="single" w:sz="4" w:space="0" w:color="auto"/>
              <w:right w:val="single" w:sz="8" w:space="0" w:color="auto"/>
            </w:tcBorders>
            <w:shd w:val="clear" w:color="auto" w:fill="auto"/>
            <w:vAlign w:val="center"/>
            <w:hideMark/>
          </w:tcPr>
          <w:p w14:paraId="6411EB18" w14:textId="77777777" w:rsidR="002C300C" w:rsidRPr="00736486" w:rsidRDefault="002C300C" w:rsidP="002C300C">
            <w:pPr>
              <w:rPr>
                <w:rFonts w:cs="Arial"/>
                <w:color w:val="000000" w:themeColor="text1"/>
                <w:szCs w:val="24"/>
              </w:rPr>
            </w:pPr>
            <w:r w:rsidRPr="00736486">
              <w:rPr>
                <w:rFonts w:cs="Arial"/>
                <w:color w:val="000000" w:themeColor="text1"/>
                <w:szCs w:val="24"/>
              </w:rPr>
              <w:t>SIC 91.01: Libraries and archive activities</w:t>
            </w:r>
          </w:p>
        </w:tc>
      </w:tr>
      <w:tr w:rsidR="002C300C" w:rsidRPr="00736486" w14:paraId="3157A916" w14:textId="77777777" w:rsidTr="002C300C">
        <w:trPr>
          <w:gridAfter w:val="1"/>
          <w:wAfter w:w="12" w:type="dxa"/>
          <w:trHeight w:val="329"/>
        </w:trPr>
        <w:tc>
          <w:tcPr>
            <w:tcW w:w="1701" w:type="dxa"/>
            <w:vMerge/>
            <w:tcBorders>
              <w:left w:val="single" w:sz="8" w:space="0" w:color="auto"/>
              <w:right w:val="single" w:sz="8" w:space="0" w:color="auto"/>
            </w:tcBorders>
            <w:shd w:val="clear" w:color="auto" w:fill="auto"/>
            <w:noWrap/>
            <w:vAlign w:val="center"/>
          </w:tcPr>
          <w:p w14:paraId="6E741B68" w14:textId="77777777" w:rsidR="002C300C" w:rsidRPr="00736486" w:rsidRDefault="002C300C" w:rsidP="002C300C">
            <w:pPr>
              <w:jc w:val="center"/>
              <w:rPr>
                <w:rFonts w:cs="Arial"/>
                <w:b/>
                <w:bCs/>
                <w:color w:val="000000" w:themeColor="text1"/>
                <w:szCs w:val="24"/>
              </w:rPr>
            </w:pPr>
          </w:p>
        </w:tc>
        <w:tc>
          <w:tcPr>
            <w:tcW w:w="7479"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488BAC23" w14:textId="686BCD40" w:rsidR="002C300C" w:rsidRPr="00736486" w:rsidRDefault="002C300C" w:rsidP="002C300C">
            <w:pPr>
              <w:rPr>
                <w:rFonts w:cs="Arial"/>
                <w:color w:val="000000" w:themeColor="text1"/>
                <w:szCs w:val="24"/>
              </w:rPr>
            </w:pPr>
            <w:r>
              <w:rPr>
                <w:rFonts w:cs="Arial"/>
                <w:color w:val="000000"/>
                <w:szCs w:val="24"/>
              </w:rPr>
              <w:t xml:space="preserve">SIC </w:t>
            </w:r>
            <w:r w:rsidRPr="00736486">
              <w:rPr>
                <w:rFonts w:cs="Arial"/>
                <w:color w:val="000000"/>
                <w:szCs w:val="24"/>
              </w:rPr>
              <w:t>91.02: Museum activities</w:t>
            </w:r>
          </w:p>
        </w:tc>
      </w:tr>
      <w:tr w:rsidR="002C300C" w:rsidRPr="00736486" w14:paraId="48BE43FC" w14:textId="77777777" w:rsidTr="002C300C">
        <w:trPr>
          <w:gridAfter w:val="1"/>
          <w:wAfter w:w="12" w:type="dxa"/>
          <w:trHeight w:val="329"/>
        </w:trPr>
        <w:tc>
          <w:tcPr>
            <w:tcW w:w="1701" w:type="dxa"/>
            <w:vMerge/>
            <w:tcBorders>
              <w:left w:val="single" w:sz="8" w:space="0" w:color="auto"/>
              <w:bottom w:val="single" w:sz="8" w:space="0" w:color="000000"/>
              <w:right w:val="single" w:sz="8" w:space="0" w:color="auto"/>
            </w:tcBorders>
            <w:shd w:val="clear" w:color="auto" w:fill="auto"/>
            <w:noWrap/>
            <w:vAlign w:val="center"/>
          </w:tcPr>
          <w:p w14:paraId="66803BBB" w14:textId="77777777" w:rsidR="002C300C" w:rsidRPr="00736486" w:rsidRDefault="002C300C" w:rsidP="002C300C">
            <w:pPr>
              <w:jc w:val="center"/>
              <w:rPr>
                <w:rFonts w:cs="Arial"/>
                <w:b/>
                <w:bCs/>
                <w:color w:val="000000" w:themeColor="text1"/>
                <w:szCs w:val="24"/>
              </w:rPr>
            </w:pPr>
          </w:p>
        </w:tc>
        <w:tc>
          <w:tcPr>
            <w:tcW w:w="7479"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80F946F" w14:textId="20170886" w:rsidR="002C300C" w:rsidRPr="00736486" w:rsidRDefault="002C300C" w:rsidP="002C300C">
            <w:pPr>
              <w:rPr>
                <w:rFonts w:cs="Arial"/>
                <w:color w:val="000000" w:themeColor="text1"/>
                <w:szCs w:val="24"/>
              </w:rPr>
            </w:pPr>
            <w:r>
              <w:rPr>
                <w:rFonts w:cs="Arial"/>
                <w:color w:val="000000"/>
                <w:szCs w:val="24"/>
              </w:rPr>
              <w:t xml:space="preserve">SIC </w:t>
            </w:r>
            <w:r w:rsidRPr="00736486">
              <w:rPr>
                <w:rFonts w:cs="Arial"/>
                <w:color w:val="000000"/>
                <w:szCs w:val="24"/>
              </w:rPr>
              <w:t>91.03: Operation of historic environment sites</w:t>
            </w:r>
          </w:p>
        </w:tc>
      </w:tr>
      <w:tr w:rsidR="002C300C" w:rsidRPr="00736486" w14:paraId="5957D67F" w14:textId="77777777" w:rsidTr="002C300C">
        <w:trPr>
          <w:gridAfter w:val="1"/>
          <w:wAfter w:w="12" w:type="dxa"/>
          <w:trHeight w:val="255"/>
        </w:trPr>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B43D4B" w14:textId="77777777" w:rsidR="002C300C" w:rsidRPr="00736486" w:rsidRDefault="002C300C" w:rsidP="002C300C">
            <w:pPr>
              <w:jc w:val="center"/>
              <w:rPr>
                <w:rFonts w:cs="Arial"/>
                <w:b/>
                <w:bCs/>
                <w:color w:val="000000" w:themeColor="text1"/>
                <w:szCs w:val="24"/>
              </w:rPr>
            </w:pPr>
            <w:r w:rsidRPr="00736486">
              <w:rPr>
                <w:rFonts w:cs="Arial"/>
                <w:b/>
                <w:bCs/>
                <w:color w:val="000000" w:themeColor="text1"/>
                <w:szCs w:val="24"/>
              </w:rPr>
              <w:t>Digital Industries</w:t>
            </w:r>
          </w:p>
        </w:tc>
        <w:tc>
          <w:tcPr>
            <w:tcW w:w="7479" w:type="dxa"/>
            <w:tcBorders>
              <w:top w:val="single" w:sz="4" w:space="0" w:color="auto"/>
              <w:left w:val="nil"/>
              <w:bottom w:val="single" w:sz="4" w:space="0" w:color="auto"/>
              <w:right w:val="single" w:sz="8" w:space="0" w:color="auto"/>
            </w:tcBorders>
            <w:shd w:val="clear" w:color="auto" w:fill="auto"/>
            <w:vAlign w:val="center"/>
            <w:hideMark/>
          </w:tcPr>
          <w:p w14:paraId="5624B59B" w14:textId="77777777" w:rsidR="002C300C" w:rsidRPr="00736486" w:rsidRDefault="002C300C" w:rsidP="002C300C">
            <w:pPr>
              <w:rPr>
                <w:rFonts w:cs="Arial"/>
                <w:color w:val="000000" w:themeColor="text1"/>
                <w:szCs w:val="24"/>
              </w:rPr>
            </w:pPr>
            <w:r w:rsidRPr="00736486">
              <w:rPr>
                <w:rFonts w:cs="Arial"/>
                <w:color w:val="000000" w:themeColor="text1"/>
                <w:szCs w:val="24"/>
              </w:rPr>
              <w:t>SIC 58.29 Other software publishing</w:t>
            </w:r>
          </w:p>
        </w:tc>
      </w:tr>
      <w:tr w:rsidR="002C300C" w:rsidRPr="00736486" w14:paraId="26DAC15D" w14:textId="77777777" w:rsidTr="002C300C">
        <w:trPr>
          <w:gridAfter w:val="1"/>
          <w:wAfter w:w="12" w:type="dxa"/>
          <w:trHeight w:val="255"/>
        </w:trPr>
        <w:tc>
          <w:tcPr>
            <w:tcW w:w="1701" w:type="dxa"/>
            <w:vMerge/>
            <w:tcBorders>
              <w:top w:val="nil"/>
              <w:left w:val="single" w:sz="8" w:space="0" w:color="auto"/>
              <w:bottom w:val="single" w:sz="8" w:space="0" w:color="000000"/>
              <w:right w:val="single" w:sz="8" w:space="0" w:color="auto"/>
            </w:tcBorders>
            <w:shd w:val="clear" w:color="auto" w:fill="auto"/>
            <w:vAlign w:val="center"/>
            <w:hideMark/>
          </w:tcPr>
          <w:p w14:paraId="19CCA227" w14:textId="77777777" w:rsidR="002C300C" w:rsidRPr="00736486" w:rsidRDefault="002C300C" w:rsidP="002C300C">
            <w:pPr>
              <w:rPr>
                <w:rFonts w:cs="Arial"/>
                <w:b/>
                <w:bCs/>
                <w:color w:val="000000" w:themeColor="text1"/>
                <w:szCs w:val="24"/>
              </w:rPr>
            </w:pPr>
          </w:p>
        </w:tc>
        <w:tc>
          <w:tcPr>
            <w:tcW w:w="7479" w:type="dxa"/>
            <w:tcBorders>
              <w:top w:val="nil"/>
              <w:left w:val="nil"/>
              <w:bottom w:val="single" w:sz="4" w:space="0" w:color="auto"/>
              <w:right w:val="single" w:sz="8" w:space="0" w:color="auto"/>
            </w:tcBorders>
            <w:shd w:val="clear" w:color="auto" w:fill="auto"/>
            <w:vAlign w:val="center"/>
            <w:hideMark/>
          </w:tcPr>
          <w:p w14:paraId="6519B8FD" w14:textId="77777777" w:rsidR="002C300C" w:rsidRPr="00736486" w:rsidRDefault="002C300C" w:rsidP="002C300C">
            <w:pPr>
              <w:rPr>
                <w:rFonts w:cs="Arial"/>
                <w:color w:val="000000" w:themeColor="text1"/>
                <w:szCs w:val="24"/>
              </w:rPr>
            </w:pPr>
            <w:r w:rsidRPr="00736486">
              <w:rPr>
                <w:rFonts w:cs="Arial"/>
                <w:color w:val="000000" w:themeColor="text1"/>
                <w:szCs w:val="24"/>
              </w:rPr>
              <w:t>SIC 62.01/2: Business and domestic software development</w:t>
            </w:r>
          </w:p>
        </w:tc>
      </w:tr>
      <w:tr w:rsidR="002C300C" w:rsidRPr="00736486" w14:paraId="24DE09D6" w14:textId="77777777" w:rsidTr="002C300C">
        <w:trPr>
          <w:gridAfter w:val="1"/>
          <w:wAfter w:w="12" w:type="dxa"/>
          <w:trHeight w:val="270"/>
        </w:trPr>
        <w:tc>
          <w:tcPr>
            <w:tcW w:w="1701" w:type="dxa"/>
            <w:vMerge/>
            <w:tcBorders>
              <w:top w:val="nil"/>
              <w:left w:val="single" w:sz="8" w:space="0" w:color="auto"/>
              <w:bottom w:val="single" w:sz="8" w:space="0" w:color="000000"/>
              <w:right w:val="single" w:sz="8" w:space="0" w:color="auto"/>
            </w:tcBorders>
            <w:shd w:val="clear" w:color="auto" w:fill="auto"/>
            <w:vAlign w:val="center"/>
            <w:hideMark/>
          </w:tcPr>
          <w:p w14:paraId="3138E580" w14:textId="77777777" w:rsidR="002C300C" w:rsidRPr="00736486" w:rsidRDefault="002C300C" w:rsidP="002C300C">
            <w:pPr>
              <w:rPr>
                <w:rFonts w:cs="Arial"/>
                <w:b/>
                <w:bCs/>
                <w:color w:val="000000" w:themeColor="text1"/>
                <w:szCs w:val="24"/>
              </w:rPr>
            </w:pPr>
          </w:p>
        </w:tc>
        <w:tc>
          <w:tcPr>
            <w:tcW w:w="7479" w:type="dxa"/>
            <w:tcBorders>
              <w:top w:val="nil"/>
              <w:left w:val="nil"/>
              <w:bottom w:val="single" w:sz="8" w:space="0" w:color="auto"/>
              <w:right w:val="single" w:sz="8" w:space="0" w:color="auto"/>
            </w:tcBorders>
            <w:shd w:val="clear" w:color="auto" w:fill="auto"/>
            <w:vAlign w:val="center"/>
            <w:hideMark/>
          </w:tcPr>
          <w:p w14:paraId="39058C24" w14:textId="77777777" w:rsidR="002C300C" w:rsidRPr="00736486" w:rsidRDefault="002C300C" w:rsidP="002C300C">
            <w:pPr>
              <w:rPr>
                <w:rFonts w:cs="Arial"/>
                <w:color w:val="000000" w:themeColor="text1"/>
                <w:szCs w:val="24"/>
              </w:rPr>
            </w:pPr>
            <w:r w:rsidRPr="00736486">
              <w:rPr>
                <w:rFonts w:cs="Arial"/>
                <w:color w:val="000000" w:themeColor="text1"/>
                <w:szCs w:val="24"/>
              </w:rPr>
              <w:t>SIC 62.02: Computer consultancy activities</w:t>
            </w:r>
          </w:p>
        </w:tc>
      </w:tr>
      <w:tr w:rsidR="002C300C" w:rsidRPr="00736486" w14:paraId="0A1FE54C" w14:textId="77777777" w:rsidTr="002C300C">
        <w:trPr>
          <w:gridAfter w:val="1"/>
          <w:wAfter w:w="12" w:type="dxa"/>
          <w:trHeight w:val="27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52C1887" w14:textId="77777777" w:rsidR="002C300C" w:rsidRPr="00736486" w:rsidRDefault="002C300C" w:rsidP="002C300C">
            <w:pPr>
              <w:jc w:val="center"/>
              <w:rPr>
                <w:rFonts w:cs="Arial"/>
                <w:b/>
                <w:bCs/>
                <w:color w:val="000000" w:themeColor="text1"/>
                <w:szCs w:val="24"/>
              </w:rPr>
            </w:pPr>
            <w:r w:rsidRPr="00736486">
              <w:rPr>
                <w:rFonts w:cs="Arial"/>
                <w:b/>
                <w:bCs/>
                <w:color w:val="000000" w:themeColor="text1"/>
                <w:szCs w:val="24"/>
              </w:rPr>
              <w:t>Cultural Education</w:t>
            </w:r>
          </w:p>
        </w:tc>
        <w:tc>
          <w:tcPr>
            <w:tcW w:w="7479" w:type="dxa"/>
            <w:tcBorders>
              <w:top w:val="nil"/>
              <w:left w:val="nil"/>
              <w:bottom w:val="single" w:sz="4" w:space="0" w:color="auto"/>
              <w:right w:val="single" w:sz="8" w:space="0" w:color="auto"/>
            </w:tcBorders>
            <w:shd w:val="clear" w:color="auto" w:fill="auto"/>
            <w:vAlign w:val="center"/>
            <w:hideMark/>
          </w:tcPr>
          <w:p w14:paraId="5744EC08" w14:textId="77777777" w:rsidR="002C300C" w:rsidRPr="00736486" w:rsidRDefault="002C300C" w:rsidP="002C300C">
            <w:pPr>
              <w:rPr>
                <w:rFonts w:cs="Arial"/>
                <w:color w:val="000000" w:themeColor="text1"/>
                <w:szCs w:val="24"/>
              </w:rPr>
            </w:pPr>
            <w:r w:rsidRPr="00736486">
              <w:rPr>
                <w:rFonts w:cs="Arial"/>
                <w:color w:val="000000" w:themeColor="text1"/>
                <w:szCs w:val="24"/>
              </w:rPr>
              <w:t>SIC 85.52: Cultural Education</w:t>
            </w:r>
          </w:p>
        </w:tc>
      </w:tr>
      <w:tr w:rsidR="002C300C" w:rsidRPr="00736486" w14:paraId="680E5203" w14:textId="77777777" w:rsidTr="002C300C">
        <w:trPr>
          <w:gridAfter w:val="1"/>
          <w:wAfter w:w="12" w:type="dxa"/>
          <w:trHeight w:val="27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6A460D" w14:textId="3CED9A49" w:rsidR="002C300C" w:rsidRPr="00736486" w:rsidRDefault="002C300C" w:rsidP="002C300C">
            <w:pPr>
              <w:rPr>
                <w:rFonts w:cs="Arial"/>
                <w:color w:val="000000" w:themeColor="text1"/>
                <w:szCs w:val="24"/>
              </w:rPr>
            </w:pPr>
            <w:r w:rsidRPr="002C300C">
              <w:rPr>
                <w:rFonts w:cs="Arial"/>
                <w:b/>
                <w:bCs/>
                <w:color w:val="000000" w:themeColor="text1"/>
                <w:szCs w:val="24"/>
              </w:rPr>
              <w:t>Note:</w:t>
            </w:r>
            <w:r>
              <w:rPr>
                <w:rFonts w:cs="Arial"/>
                <w:color w:val="000000" w:themeColor="text1"/>
                <w:szCs w:val="24"/>
              </w:rPr>
              <w:t xml:space="preserve"> </w:t>
            </w:r>
            <w:r w:rsidRPr="002C300C">
              <w:rPr>
                <w:rFonts w:cs="Arial"/>
                <w:color w:val="000000" w:themeColor="text1"/>
                <w:szCs w:val="24"/>
                <w:highlight w:val="lightGray"/>
              </w:rPr>
              <w:t>Shaded</w:t>
            </w:r>
            <w:r>
              <w:rPr>
                <w:rFonts w:cs="Arial"/>
                <w:color w:val="000000" w:themeColor="text1"/>
                <w:szCs w:val="24"/>
              </w:rPr>
              <w:t xml:space="preserve"> cells indicate the additional SIC codes that were added to the previous sector definition, which was based on Creative Industries growth sector.</w:t>
            </w:r>
          </w:p>
        </w:tc>
      </w:tr>
    </w:tbl>
    <w:p w14:paraId="0A4AE927" w14:textId="0CD210F5" w:rsidR="00545D0D" w:rsidRPr="00736486" w:rsidRDefault="00545D0D" w:rsidP="00AB28F9">
      <w:pPr>
        <w:rPr>
          <w:rFonts w:cs="Arial"/>
        </w:rPr>
      </w:pPr>
    </w:p>
    <w:p w14:paraId="71E1505B" w14:textId="3DA207BB" w:rsidR="00545D0D" w:rsidRPr="00736486" w:rsidRDefault="00545D0D">
      <w:pPr>
        <w:rPr>
          <w:rFonts w:cs="Arial"/>
        </w:rPr>
      </w:pPr>
    </w:p>
    <w:sectPr w:rsidR="00545D0D" w:rsidRPr="00736486" w:rsidSect="000C6F16">
      <w:headerReference w:type="even" r:id="rId13"/>
      <w:headerReference w:type="default" r:id="rId14"/>
      <w:footerReference w:type="even" r:id="rId15"/>
      <w:footerReference w:type="default" r:id="rId16"/>
      <w:headerReference w:type="first" r:id="rId17"/>
      <w:footerReference w:type="first" r:id="rId18"/>
      <w:pgSz w:w="11906" w:h="16838" w:code="9"/>
      <w:pgMar w:top="1440" w:right="1133"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FC40" w14:textId="77777777" w:rsidR="006F4335" w:rsidRDefault="006F4335" w:rsidP="00ED762C">
      <w:r>
        <w:separator/>
      </w:r>
    </w:p>
  </w:endnote>
  <w:endnote w:type="continuationSeparator" w:id="0">
    <w:p w14:paraId="11B8BD20" w14:textId="77777777" w:rsidR="006F4335" w:rsidRDefault="006F4335" w:rsidP="00ED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FF2F" w14:textId="77777777" w:rsidR="00295D3D" w:rsidRDefault="0029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C13C" w14:textId="4017C8C3" w:rsidR="00A418AC" w:rsidRDefault="00A418AC" w:rsidP="00AB28F9">
    <w:pPr>
      <w:pStyle w:val="Footer"/>
      <w:jc w:val="center"/>
    </w:pPr>
    <w:r>
      <w:fldChar w:fldCharType="begin"/>
    </w:r>
    <w:r>
      <w:instrText xml:space="preserve"> PAGE   \* MERGEFORMAT </w:instrText>
    </w:r>
    <w:r>
      <w:fldChar w:fldCharType="separate"/>
    </w:r>
    <w:r w:rsidR="00310700">
      <w:rPr>
        <w:noProof/>
      </w:rPr>
      <w:t>11</w:t>
    </w:r>
    <w:r>
      <w:rPr>
        <w:noProof/>
      </w:rPr>
      <w:fldChar w:fldCharType="end"/>
    </w:r>
  </w:p>
  <w:p w14:paraId="10F209FE" w14:textId="77777777" w:rsidR="00A418AC" w:rsidRDefault="00A41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2AC" w14:textId="77777777" w:rsidR="00295D3D" w:rsidRDefault="0029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E2E4" w14:textId="77777777" w:rsidR="006F4335" w:rsidRDefault="006F4335" w:rsidP="00ED762C">
      <w:r>
        <w:separator/>
      </w:r>
    </w:p>
  </w:footnote>
  <w:footnote w:type="continuationSeparator" w:id="0">
    <w:p w14:paraId="5D90C2C5" w14:textId="77777777" w:rsidR="006F4335" w:rsidRDefault="006F4335" w:rsidP="00ED762C">
      <w:r>
        <w:continuationSeparator/>
      </w:r>
    </w:p>
  </w:footnote>
  <w:footnote w:id="1">
    <w:p w14:paraId="3F41144A" w14:textId="62861005" w:rsidR="00DC2083" w:rsidRPr="00DC2083" w:rsidRDefault="00DC2083" w:rsidP="00DC2083">
      <w:pPr>
        <w:pStyle w:val="FootnoteText"/>
      </w:pPr>
      <w:r>
        <w:rPr>
          <w:rStyle w:val="FootnoteReference"/>
        </w:rPr>
        <w:footnoteRef/>
      </w:r>
      <w:r>
        <w:t xml:space="preserve"> </w:t>
      </w:r>
      <w:r w:rsidRPr="00DC2083">
        <w:t xml:space="preserve">The Creative Industries </w:t>
      </w:r>
      <w:r>
        <w:t xml:space="preserve">growth sector definition </w:t>
      </w:r>
      <w:r w:rsidRPr="00DC2083">
        <w:t>is built up from a range of Standard Industrial Classification 20</w:t>
      </w:r>
      <w:r>
        <w:t>0</w:t>
      </w:r>
      <w:r w:rsidRPr="00DC2083">
        <w:t xml:space="preserve">7 codes, </w:t>
      </w:r>
      <w:r>
        <w:t xml:space="preserve">and </w:t>
      </w:r>
      <w:r w:rsidRPr="00DC2083">
        <w:t>more information on the specific codes included is available at:</w:t>
      </w:r>
      <w:r>
        <w:t xml:space="preserve"> </w:t>
      </w:r>
      <w:hyperlink r:id="rId1" w:history="1">
        <w:r w:rsidRPr="00DC2083">
          <w:rPr>
            <w:rStyle w:val="Hyperlink"/>
          </w:rPr>
          <w:t>https://www.gov.scot/publications/growth-sector-statistics/</w:t>
        </w:r>
      </w:hyperlink>
    </w:p>
    <w:p w14:paraId="0902BEB6" w14:textId="3EB42D4E" w:rsidR="00DC2083" w:rsidRDefault="00DC2083">
      <w:pPr>
        <w:pStyle w:val="FootnoteText"/>
      </w:pPr>
    </w:p>
  </w:footnote>
  <w:footnote w:id="2">
    <w:p w14:paraId="34EC4036" w14:textId="38105073" w:rsidR="00885CE8" w:rsidRPr="00885CE8" w:rsidRDefault="00885CE8" w:rsidP="00885CE8">
      <w:pPr>
        <w:pStyle w:val="Heading1"/>
        <w:numPr>
          <w:ilvl w:val="0"/>
          <w:numId w:val="0"/>
        </w:numPr>
        <w:tabs>
          <w:tab w:val="left" w:pos="720"/>
          <w:tab w:val="left" w:pos="1440"/>
          <w:tab w:val="left" w:pos="2160"/>
          <w:tab w:val="left" w:pos="2880"/>
          <w:tab w:val="left" w:pos="4680"/>
          <w:tab w:val="left" w:pos="5400"/>
          <w:tab w:val="right" w:pos="9000"/>
        </w:tabs>
        <w:spacing w:line="240" w:lineRule="atLeast"/>
        <w:jc w:val="both"/>
        <w:rPr>
          <w:b w:val="0"/>
          <w:sz w:val="20"/>
        </w:rPr>
      </w:pPr>
      <w:r w:rsidRPr="00DC2083">
        <w:rPr>
          <w:rStyle w:val="FootnoteReference"/>
          <w:b w:val="0"/>
          <w:bCs/>
        </w:rPr>
        <w:footnoteRef/>
      </w:r>
      <w:r w:rsidRPr="00DC2083">
        <w:rPr>
          <w:b w:val="0"/>
          <w:bCs/>
        </w:rPr>
        <w:t xml:space="preserve"> </w:t>
      </w:r>
      <w:r w:rsidRPr="00DC2083">
        <w:rPr>
          <w:b w:val="0"/>
          <w:bCs/>
          <w:sz w:val="20"/>
        </w:rPr>
        <w:t>The criteria for assessment were whether the activity: uses cultural or creative input; promotes participation in cultural/creative activities; is endorsed by stakeholders; is included within other definitions of culture or creative industries used by other statistical bodies such as DCMS or Eurostat.</w:t>
      </w:r>
      <w:r w:rsidRPr="00A76F17">
        <w:rPr>
          <w:sz w:val="20"/>
        </w:rPr>
        <w:t xml:space="preserve"> </w:t>
      </w:r>
    </w:p>
  </w:footnote>
  <w:footnote w:id="3">
    <w:p w14:paraId="2455BE75" w14:textId="4EB07052" w:rsidR="00DC2083" w:rsidRDefault="00DC2083">
      <w:pPr>
        <w:pStyle w:val="FootnoteText"/>
      </w:pPr>
      <w:r>
        <w:rPr>
          <w:rStyle w:val="FootnoteReference"/>
        </w:rPr>
        <w:footnoteRef/>
      </w:r>
      <w:r>
        <w:t xml:space="preserve"> These equality dissagregations can be found in the </w:t>
      </w:r>
      <w:hyperlink r:id="rId2" w:anchor="equality-npf-top" w:history="1">
        <w:r>
          <w:rPr>
            <w:rStyle w:val="Hyperlink"/>
          </w:rPr>
          <w:t>Equality Evidence Finder</w:t>
        </w:r>
      </w:hyperlink>
      <w:r>
        <w:t xml:space="preserve"> of the NPF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2C76" w14:textId="77777777" w:rsidR="00295D3D" w:rsidRDefault="00295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B2B3" w14:textId="77777777" w:rsidR="00A418AC" w:rsidRDefault="00A418AC" w:rsidP="00A418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CE6C" w14:textId="77777777" w:rsidR="00295D3D" w:rsidRDefault="0029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B38DB4A"/>
    <w:lvl w:ilvl="0">
      <w:start w:val="1"/>
      <w:numFmt w:val="decimal"/>
      <w:pStyle w:val="Heading1"/>
      <w:lvlText w:val="%1."/>
      <w:legacy w:legacy="1" w:legacySpace="288" w:legacyIndent="720"/>
      <w:lvlJc w:val="left"/>
      <w:rPr>
        <w:b/>
        <w:bCs/>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9C0E6C"/>
    <w:multiLevelType w:val="hybridMultilevel"/>
    <w:tmpl w:val="EDCEA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72168"/>
    <w:multiLevelType w:val="hybridMultilevel"/>
    <w:tmpl w:val="FE54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E7652"/>
    <w:multiLevelType w:val="hybridMultilevel"/>
    <w:tmpl w:val="D12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21106"/>
    <w:multiLevelType w:val="hybridMultilevel"/>
    <w:tmpl w:val="A5600760"/>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584B11"/>
    <w:multiLevelType w:val="hybridMultilevel"/>
    <w:tmpl w:val="1214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F62C2"/>
    <w:multiLevelType w:val="hybridMultilevel"/>
    <w:tmpl w:val="CCD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25183"/>
    <w:multiLevelType w:val="hybridMultilevel"/>
    <w:tmpl w:val="0964B002"/>
    <w:lvl w:ilvl="0" w:tplc="E9B42966">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0D0406CF"/>
    <w:multiLevelType w:val="hybridMultilevel"/>
    <w:tmpl w:val="E4C4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1733D"/>
    <w:multiLevelType w:val="hybridMultilevel"/>
    <w:tmpl w:val="E2F6A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3D6ED4"/>
    <w:multiLevelType w:val="hybridMultilevel"/>
    <w:tmpl w:val="2F2885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7008CC"/>
    <w:multiLevelType w:val="hybridMultilevel"/>
    <w:tmpl w:val="B38EC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A2043A"/>
    <w:multiLevelType w:val="hybridMultilevel"/>
    <w:tmpl w:val="A68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62BA5"/>
    <w:multiLevelType w:val="hybridMultilevel"/>
    <w:tmpl w:val="07BAC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66D9F"/>
    <w:multiLevelType w:val="hybridMultilevel"/>
    <w:tmpl w:val="6660C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CB031A"/>
    <w:multiLevelType w:val="hybridMultilevel"/>
    <w:tmpl w:val="7038A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7E2822"/>
    <w:multiLevelType w:val="hybridMultilevel"/>
    <w:tmpl w:val="B7421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A811A6"/>
    <w:multiLevelType w:val="hybridMultilevel"/>
    <w:tmpl w:val="39C4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61AE1"/>
    <w:multiLevelType w:val="multilevel"/>
    <w:tmpl w:val="576AEDC0"/>
    <w:lvl w:ilvl="0">
      <w:start w:val="1"/>
      <w:numFmt w:val="bullet"/>
      <w:lvlText w:val=""/>
      <w:lvlJc w:val="left"/>
      <w:rPr>
        <w:rFonts w:ascii="Symbol" w:hAnsi="Symbol" w:hint="default"/>
        <w:b w:val="0"/>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15:restartNumberingAfterBreak="0">
    <w:nsid w:val="26763225"/>
    <w:multiLevelType w:val="hybridMultilevel"/>
    <w:tmpl w:val="1750BD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6E725A1"/>
    <w:multiLevelType w:val="hybridMultilevel"/>
    <w:tmpl w:val="27040734"/>
    <w:lvl w:ilvl="0" w:tplc="E6E44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98162DF"/>
    <w:multiLevelType w:val="hybridMultilevel"/>
    <w:tmpl w:val="CB2A84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8C2CBB"/>
    <w:multiLevelType w:val="hybridMultilevel"/>
    <w:tmpl w:val="FAEA9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B54FE5"/>
    <w:multiLevelType w:val="hybridMultilevel"/>
    <w:tmpl w:val="B3AA0F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0C687F"/>
    <w:multiLevelType w:val="hybridMultilevel"/>
    <w:tmpl w:val="3AB82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4F4111"/>
    <w:multiLevelType w:val="hybridMultilevel"/>
    <w:tmpl w:val="B73E6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B4B0A"/>
    <w:multiLevelType w:val="hybridMultilevel"/>
    <w:tmpl w:val="E3AC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27783"/>
    <w:multiLevelType w:val="hybridMultilevel"/>
    <w:tmpl w:val="715C4F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D0DB9"/>
    <w:multiLevelType w:val="hybridMultilevel"/>
    <w:tmpl w:val="3A80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7E10AF"/>
    <w:multiLevelType w:val="hybridMultilevel"/>
    <w:tmpl w:val="7116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1E63EE"/>
    <w:multiLevelType w:val="hybridMultilevel"/>
    <w:tmpl w:val="DB84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5348F8"/>
    <w:multiLevelType w:val="hybridMultilevel"/>
    <w:tmpl w:val="426CB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C04C17"/>
    <w:multiLevelType w:val="hybridMultilevel"/>
    <w:tmpl w:val="B50C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FE70DB"/>
    <w:multiLevelType w:val="hybridMultilevel"/>
    <w:tmpl w:val="C9881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BF5B8C"/>
    <w:multiLevelType w:val="hybridMultilevel"/>
    <w:tmpl w:val="BD2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D6BF1"/>
    <w:multiLevelType w:val="hybridMultilevel"/>
    <w:tmpl w:val="899E1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40050E"/>
    <w:multiLevelType w:val="hybridMultilevel"/>
    <w:tmpl w:val="3B8E28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5B547687"/>
    <w:multiLevelType w:val="hybridMultilevel"/>
    <w:tmpl w:val="BBD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3C626F"/>
    <w:multiLevelType w:val="hybridMultilevel"/>
    <w:tmpl w:val="29D0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E0748"/>
    <w:multiLevelType w:val="hybridMultilevel"/>
    <w:tmpl w:val="3CCA7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1A42A0"/>
    <w:multiLevelType w:val="hybridMultilevel"/>
    <w:tmpl w:val="9F00613A"/>
    <w:lvl w:ilvl="0" w:tplc="C11C01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2" w15:restartNumberingAfterBreak="0">
    <w:nsid w:val="65BE63E4"/>
    <w:multiLevelType w:val="hybridMultilevel"/>
    <w:tmpl w:val="3B185FFA"/>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78D4EBE"/>
    <w:multiLevelType w:val="hybridMultilevel"/>
    <w:tmpl w:val="C0503C34"/>
    <w:lvl w:ilvl="0" w:tplc="0FD826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B818B0"/>
    <w:multiLevelType w:val="hybridMultilevel"/>
    <w:tmpl w:val="9716D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DF46E7"/>
    <w:multiLevelType w:val="hybridMultilevel"/>
    <w:tmpl w:val="C0C6E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712169"/>
    <w:multiLevelType w:val="hybridMultilevel"/>
    <w:tmpl w:val="59628B0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7" w15:restartNumberingAfterBreak="0">
    <w:nsid w:val="6BC002C2"/>
    <w:multiLevelType w:val="hybridMultilevel"/>
    <w:tmpl w:val="E29C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623AFE"/>
    <w:multiLevelType w:val="hybridMultilevel"/>
    <w:tmpl w:val="EFC63CE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CB36F45"/>
    <w:multiLevelType w:val="hybridMultilevel"/>
    <w:tmpl w:val="EFCA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D62D09"/>
    <w:multiLevelType w:val="hybridMultilevel"/>
    <w:tmpl w:val="2704073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D6D38BA"/>
    <w:multiLevelType w:val="hybridMultilevel"/>
    <w:tmpl w:val="DB1C8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744B57"/>
    <w:multiLevelType w:val="hybridMultilevel"/>
    <w:tmpl w:val="2DB6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155A88"/>
    <w:multiLevelType w:val="hybridMultilevel"/>
    <w:tmpl w:val="14EE3CB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33D43DC"/>
    <w:multiLevelType w:val="hybridMultilevel"/>
    <w:tmpl w:val="0828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A50946"/>
    <w:multiLevelType w:val="hybridMultilevel"/>
    <w:tmpl w:val="8746E7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EF53F6E"/>
    <w:multiLevelType w:val="hybridMultilevel"/>
    <w:tmpl w:val="42EA6B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853189">
    <w:abstractNumId w:val="41"/>
  </w:num>
  <w:num w:numId="2" w16cid:durableId="344598334">
    <w:abstractNumId w:val="0"/>
  </w:num>
  <w:num w:numId="3" w16cid:durableId="1810050010">
    <w:abstractNumId w:val="0"/>
  </w:num>
  <w:num w:numId="4" w16cid:durableId="1834298531">
    <w:abstractNumId w:val="0"/>
  </w:num>
  <w:num w:numId="5" w16cid:durableId="1530794874">
    <w:abstractNumId w:val="41"/>
  </w:num>
  <w:num w:numId="6" w16cid:durableId="520626067">
    <w:abstractNumId w:val="0"/>
  </w:num>
  <w:num w:numId="7" w16cid:durableId="1228682451">
    <w:abstractNumId w:val="6"/>
  </w:num>
  <w:num w:numId="8" w16cid:durableId="297682917">
    <w:abstractNumId w:val="17"/>
  </w:num>
  <w:num w:numId="9" w16cid:durableId="1021975228">
    <w:abstractNumId w:val="54"/>
  </w:num>
  <w:num w:numId="10" w16cid:durableId="134953185">
    <w:abstractNumId w:val="26"/>
  </w:num>
  <w:num w:numId="11" w16cid:durableId="1844514562">
    <w:abstractNumId w:val="9"/>
  </w:num>
  <w:num w:numId="12" w16cid:durableId="1917661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3245950">
    <w:abstractNumId w:val="10"/>
  </w:num>
  <w:num w:numId="14" w16cid:durableId="1122991137">
    <w:abstractNumId w:val="22"/>
  </w:num>
  <w:num w:numId="15" w16cid:durableId="578321838">
    <w:abstractNumId w:val="2"/>
  </w:num>
  <w:num w:numId="16" w16cid:durableId="1031034380">
    <w:abstractNumId w:val="48"/>
  </w:num>
  <w:num w:numId="17" w16cid:durableId="1449157738">
    <w:abstractNumId w:val="15"/>
  </w:num>
  <w:num w:numId="18" w16cid:durableId="1041826668">
    <w:abstractNumId w:val="27"/>
  </w:num>
  <w:num w:numId="19" w16cid:durableId="1055666002">
    <w:abstractNumId w:val="11"/>
  </w:num>
  <w:num w:numId="20" w16cid:durableId="1151749645">
    <w:abstractNumId w:val="25"/>
  </w:num>
  <w:num w:numId="21" w16cid:durableId="1147937041">
    <w:abstractNumId w:val="12"/>
  </w:num>
  <w:num w:numId="22" w16cid:durableId="931815467">
    <w:abstractNumId w:val="31"/>
  </w:num>
  <w:num w:numId="23" w16cid:durableId="1988049900">
    <w:abstractNumId w:val="44"/>
  </w:num>
  <w:num w:numId="24" w16cid:durableId="601303944">
    <w:abstractNumId w:val="8"/>
  </w:num>
  <w:num w:numId="25" w16cid:durableId="1895967782">
    <w:abstractNumId w:val="39"/>
  </w:num>
  <w:num w:numId="26" w16cid:durableId="634915875">
    <w:abstractNumId w:val="23"/>
  </w:num>
  <w:num w:numId="27" w16cid:durableId="1623997465">
    <w:abstractNumId w:val="30"/>
  </w:num>
  <w:num w:numId="28" w16cid:durableId="1812752698">
    <w:abstractNumId w:val="49"/>
  </w:num>
  <w:num w:numId="29" w16cid:durableId="1236861333">
    <w:abstractNumId w:val="36"/>
  </w:num>
  <w:num w:numId="30" w16cid:durableId="1086029794">
    <w:abstractNumId w:val="7"/>
  </w:num>
  <w:num w:numId="31" w16cid:durableId="511534089">
    <w:abstractNumId w:val="14"/>
  </w:num>
  <w:num w:numId="32" w16cid:durableId="1284118025">
    <w:abstractNumId w:val="43"/>
  </w:num>
  <w:num w:numId="33" w16cid:durableId="1372681394">
    <w:abstractNumId w:val="28"/>
  </w:num>
  <w:num w:numId="34" w16cid:durableId="223419974">
    <w:abstractNumId w:val="33"/>
  </w:num>
  <w:num w:numId="35" w16cid:durableId="1834106446">
    <w:abstractNumId w:val="0"/>
  </w:num>
  <w:num w:numId="36" w16cid:durableId="485054972">
    <w:abstractNumId w:val="1"/>
  </w:num>
  <w:num w:numId="37" w16cid:durableId="1761222178">
    <w:abstractNumId w:val="46"/>
  </w:num>
  <w:num w:numId="38" w16cid:durableId="1113597964">
    <w:abstractNumId w:val="51"/>
  </w:num>
  <w:num w:numId="39" w16cid:durableId="1142582859">
    <w:abstractNumId w:val="45"/>
  </w:num>
  <w:num w:numId="40" w16cid:durableId="270208969">
    <w:abstractNumId w:val="16"/>
  </w:num>
  <w:num w:numId="41" w16cid:durableId="1219777303">
    <w:abstractNumId w:val="37"/>
  </w:num>
  <w:num w:numId="42" w16cid:durableId="808202980">
    <w:abstractNumId w:val="47"/>
  </w:num>
  <w:num w:numId="43" w16cid:durableId="1595091054">
    <w:abstractNumId w:val="52"/>
  </w:num>
  <w:num w:numId="44" w16cid:durableId="1349409554">
    <w:abstractNumId w:val="24"/>
  </w:num>
  <w:num w:numId="45" w16cid:durableId="2123724843">
    <w:abstractNumId w:val="29"/>
  </w:num>
  <w:num w:numId="46" w16cid:durableId="84500996">
    <w:abstractNumId w:val="19"/>
  </w:num>
  <w:num w:numId="47" w16cid:durableId="1577738846">
    <w:abstractNumId w:val="56"/>
  </w:num>
  <w:num w:numId="48" w16cid:durableId="1023479438">
    <w:abstractNumId w:val="5"/>
  </w:num>
  <w:num w:numId="49" w16cid:durableId="1681396930">
    <w:abstractNumId w:val="13"/>
  </w:num>
  <w:num w:numId="50" w16cid:durableId="1655182588">
    <w:abstractNumId w:val="18"/>
  </w:num>
  <w:num w:numId="51" w16cid:durableId="936212825">
    <w:abstractNumId w:val="0"/>
  </w:num>
  <w:num w:numId="52" w16cid:durableId="1178959315">
    <w:abstractNumId w:val="4"/>
  </w:num>
  <w:num w:numId="53" w16cid:durableId="1817525799">
    <w:abstractNumId w:val="42"/>
  </w:num>
  <w:num w:numId="54" w16cid:durableId="2122258170">
    <w:abstractNumId w:val="0"/>
  </w:num>
  <w:num w:numId="55" w16cid:durableId="921527535">
    <w:abstractNumId w:val="0"/>
  </w:num>
  <w:num w:numId="56" w16cid:durableId="1676683633">
    <w:abstractNumId w:val="0"/>
  </w:num>
  <w:num w:numId="57" w16cid:durableId="1891838609">
    <w:abstractNumId w:val="0"/>
  </w:num>
  <w:num w:numId="58" w16cid:durableId="264772287">
    <w:abstractNumId w:val="0"/>
  </w:num>
  <w:num w:numId="59" w16cid:durableId="766385689">
    <w:abstractNumId w:val="0"/>
  </w:num>
  <w:num w:numId="60" w16cid:durableId="1602028919">
    <w:abstractNumId w:val="40"/>
  </w:num>
  <w:num w:numId="61" w16cid:durableId="558517926">
    <w:abstractNumId w:val="20"/>
  </w:num>
  <w:num w:numId="62" w16cid:durableId="1598323593">
    <w:abstractNumId w:val="50"/>
  </w:num>
  <w:num w:numId="63" w16cid:durableId="626358602">
    <w:abstractNumId w:val="38"/>
  </w:num>
  <w:num w:numId="64" w16cid:durableId="710105996">
    <w:abstractNumId w:val="34"/>
  </w:num>
  <w:num w:numId="65" w16cid:durableId="1908028928">
    <w:abstractNumId w:val="32"/>
  </w:num>
  <w:num w:numId="66" w16cid:durableId="481116263">
    <w:abstractNumId w:val="3"/>
  </w:num>
  <w:num w:numId="67" w16cid:durableId="1696075418">
    <w:abstractNumId w:val="35"/>
  </w:num>
  <w:num w:numId="68" w16cid:durableId="2077438099">
    <w:abstractNumId w:val="55"/>
  </w:num>
  <w:num w:numId="69" w16cid:durableId="1323191977">
    <w:abstractNumId w:val="21"/>
  </w:num>
  <w:num w:numId="70" w16cid:durableId="177898441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62C"/>
    <w:rsid w:val="00003195"/>
    <w:rsid w:val="00027C27"/>
    <w:rsid w:val="00036595"/>
    <w:rsid w:val="00057DBF"/>
    <w:rsid w:val="00073F55"/>
    <w:rsid w:val="000B428D"/>
    <w:rsid w:val="000B4B8E"/>
    <w:rsid w:val="000C0CF4"/>
    <w:rsid w:val="000C6349"/>
    <w:rsid w:val="000C6F16"/>
    <w:rsid w:val="000E0585"/>
    <w:rsid w:val="000E3E71"/>
    <w:rsid w:val="000F111C"/>
    <w:rsid w:val="000F3D7B"/>
    <w:rsid w:val="000F74B9"/>
    <w:rsid w:val="00103D87"/>
    <w:rsid w:val="001138F5"/>
    <w:rsid w:val="00144E91"/>
    <w:rsid w:val="0016404E"/>
    <w:rsid w:val="001650F1"/>
    <w:rsid w:val="001827FF"/>
    <w:rsid w:val="00194CF9"/>
    <w:rsid w:val="00197120"/>
    <w:rsid w:val="001A2978"/>
    <w:rsid w:val="001B0561"/>
    <w:rsid w:val="001C35C1"/>
    <w:rsid w:val="001D439A"/>
    <w:rsid w:val="002037A0"/>
    <w:rsid w:val="00237538"/>
    <w:rsid w:val="00247207"/>
    <w:rsid w:val="00281579"/>
    <w:rsid w:val="0028356A"/>
    <w:rsid w:val="00293780"/>
    <w:rsid w:val="00295D3D"/>
    <w:rsid w:val="00296AAE"/>
    <w:rsid w:val="002A078B"/>
    <w:rsid w:val="002A3DEF"/>
    <w:rsid w:val="002A4099"/>
    <w:rsid w:val="002B21E6"/>
    <w:rsid w:val="002C300C"/>
    <w:rsid w:val="002D2EFF"/>
    <w:rsid w:val="002E4312"/>
    <w:rsid w:val="002E764D"/>
    <w:rsid w:val="002F294C"/>
    <w:rsid w:val="002F5F6B"/>
    <w:rsid w:val="00300E30"/>
    <w:rsid w:val="00304D43"/>
    <w:rsid w:val="00306C61"/>
    <w:rsid w:val="00310700"/>
    <w:rsid w:val="00314221"/>
    <w:rsid w:val="003509FA"/>
    <w:rsid w:val="00351EC2"/>
    <w:rsid w:val="00355569"/>
    <w:rsid w:val="0037582B"/>
    <w:rsid w:val="00386846"/>
    <w:rsid w:val="003979F6"/>
    <w:rsid w:val="003A5FCF"/>
    <w:rsid w:val="003B2948"/>
    <w:rsid w:val="003C3FD0"/>
    <w:rsid w:val="003C4F1F"/>
    <w:rsid w:val="004166E5"/>
    <w:rsid w:val="00417C9E"/>
    <w:rsid w:val="00425FBD"/>
    <w:rsid w:val="00426BDC"/>
    <w:rsid w:val="004309C8"/>
    <w:rsid w:val="00434BA3"/>
    <w:rsid w:val="004439D5"/>
    <w:rsid w:val="004731BC"/>
    <w:rsid w:val="00475779"/>
    <w:rsid w:val="00493C4A"/>
    <w:rsid w:val="00496100"/>
    <w:rsid w:val="004A71E7"/>
    <w:rsid w:val="004B4335"/>
    <w:rsid w:val="004C2A29"/>
    <w:rsid w:val="004D57E1"/>
    <w:rsid w:val="0050051B"/>
    <w:rsid w:val="00506BFB"/>
    <w:rsid w:val="00510E8B"/>
    <w:rsid w:val="0052415C"/>
    <w:rsid w:val="00535BD4"/>
    <w:rsid w:val="005377A4"/>
    <w:rsid w:val="00545D0D"/>
    <w:rsid w:val="00560AA7"/>
    <w:rsid w:val="0056627D"/>
    <w:rsid w:val="0057113C"/>
    <w:rsid w:val="00575EE5"/>
    <w:rsid w:val="00580B5F"/>
    <w:rsid w:val="00585B40"/>
    <w:rsid w:val="00587FB2"/>
    <w:rsid w:val="00590832"/>
    <w:rsid w:val="005979EB"/>
    <w:rsid w:val="005A3E20"/>
    <w:rsid w:val="005D733A"/>
    <w:rsid w:val="005E10B4"/>
    <w:rsid w:val="005E31FB"/>
    <w:rsid w:val="005E59EA"/>
    <w:rsid w:val="005F3AC9"/>
    <w:rsid w:val="0061770F"/>
    <w:rsid w:val="006253F0"/>
    <w:rsid w:val="00646317"/>
    <w:rsid w:val="006647EE"/>
    <w:rsid w:val="00671D73"/>
    <w:rsid w:val="00684989"/>
    <w:rsid w:val="006872CC"/>
    <w:rsid w:val="006D5B3F"/>
    <w:rsid w:val="006D66D1"/>
    <w:rsid w:val="006F29F9"/>
    <w:rsid w:val="006F4335"/>
    <w:rsid w:val="007029A5"/>
    <w:rsid w:val="007067A4"/>
    <w:rsid w:val="00726861"/>
    <w:rsid w:val="00727B7A"/>
    <w:rsid w:val="00736486"/>
    <w:rsid w:val="0073664B"/>
    <w:rsid w:val="00746DBC"/>
    <w:rsid w:val="007555E1"/>
    <w:rsid w:val="00763EC7"/>
    <w:rsid w:val="0078068C"/>
    <w:rsid w:val="007B524A"/>
    <w:rsid w:val="007B65C4"/>
    <w:rsid w:val="007D165B"/>
    <w:rsid w:val="007D22E5"/>
    <w:rsid w:val="007D3C36"/>
    <w:rsid w:val="00804607"/>
    <w:rsid w:val="00807424"/>
    <w:rsid w:val="00810029"/>
    <w:rsid w:val="00816811"/>
    <w:rsid w:val="00825A49"/>
    <w:rsid w:val="00847377"/>
    <w:rsid w:val="008515BB"/>
    <w:rsid w:val="00853B08"/>
    <w:rsid w:val="00857548"/>
    <w:rsid w:val="0086768E"/>
    <w:rsid w:val="0087117B"/>
    <w:rsid w:val="00874815"/>
    <w:rsid w:val="00885CE8"/>
    <w:rsid w:val="00886A63"/>
    <w:rsid w:val="00886EE2"/>
    <w:rsid w:val="008B0FCC"/>
    <w:rsid w:val="008B197C"/>
    <w:rsid w:val="008B462A"/>
    <w:rsid w:val="008C282E"/>
    <w:rsid w:val="008C7414"/>
    <w:rsid w:val="008E1121"/>
    <w:rsid w:val="008E47B1"/>
    <w:rsid w:val="008E7601"/>
    <w:rsid w:val="00910537"/>
    <w:rsid w:val="00914B10"/>
    <w:rsid w:val="009215F1"/>
    <w:rsid w:val="0092658A"/>
    <w:rsid w:val="00941DEF"/>
    <w:rsid w:val="009510F1"/>
    <w:rsid w:val="00953821"/>
    <w:rsid w:val="00956D45"/>
    <w:rsid w:val="009725F3"/>
    <w:rsid w:val="00982102"/>
    <w:rsid w:val="009B7615"/>
    <w:rsid w:val="009C592B"/>
    <w:rsid w:val="009D140D"/>
    <w:rsid w:val="009D146B"/>
    <w:rsid w:val="009D7619"/>
    <w:rsid w:val="009E41E6"/>
    <w:rsid w:val="009E7399"/>
    <w:rsid w:val="009F5D3A"/>
    <w:rsid w:val="00A10357"/>
    <w:rsid w:val="00A301F9"/>
    <w:rsid w:val="00A33D71"/>
    <w:rsid w:val="00A418AC"/>
    <w:rsid w:val="00A6618F"/>
    <w:rsid w:val="00A76F17"/>
    <w:rsid w:val="00A82844"/>
    <w:rsid w:val="00AA4BF2"/>
    <w:rsid w:val="00AA5D72"/>
    <w:rsid w:val="00AB28F9"/>
    <w:rsid w:val="00AB2DEF"/>
    <w:rsid w:val="00AC724C"/>
    <w:rsid w:val="00AD5765"/>
    <w:rsid w:val="00B101F2"/>
    <w:rsid w:val="00B151EE"/>
    <w:rsid w:val="00B3049D"/>
    <w:rsid w:val="00B31003"/>
    <w:rsid w:val="00B33419"/>
    <w:rsid w:val="00B37E74"/>
    <w:rsid w:val="00B42396"/>
    <w:rsid w:val="00B51BDC"/>
    <w:rsid w:val="00B544A8"/>
    <w:rsid w:val="00B561C0"/>
    <w:rsid w:val="00B603E1"/>
    <w:rsid w:val="00B74052"/>
    <w:rsid w:val="00B75327"/>
    <w:rsid w:val="00B773CE"/>
    <w:rsid w:val="00B818C3"/>
    <w:rsid w:val="00BD7A59"/>
    <w:rsid w:val="00BE367A"/>
    <w:rsid w:val="00BF606B"/>
    <w:rsid w:val="00C13A38"/>
    <w:rsid w:val="00C14EFA"/>
    <w:rsid w:val="00C1700B"/>
    <w:rsid w:val="00C227DD"/>
    <w:rsid w:val="00C35B8B"/>
    <w:rsid w:val="00C37CF9"/>
    <w:rsid w:val="00C448E5"/>
    <w:rsid w:val="00C44CE3"/>
    <w:rsid w:val="00C4580E"/>
    <w:rsid w:val="00C460C9"/>
    <w:rsid w:val="00C53777"/>
    <w:rsid w:val="00C72AA7"/>
    <w:rsid w:val="00C82744"/>
    <w:rsid w:val="00C91823"/>
    <w:rsid w:val="00CB5C62"/>
    <w:rsid w:val="00CB7190"/>
    <w:rsid w:val="00D008AB"/>
    <w:rsid w:val="00D058AF"/>
    <w:rsid w:val="00D111FA"/>
    <w:rsid w:val="00D130F1"/>
    <w:rsid w:val="00D13361"/>
    <w:rsid w:val="00D274CB"/>
    <w:rsid w:val="00D31D93"/>
    <w:rsid w:val="00D3369B"/>
    <w:rsid w:val="00D34774"/>
    <w:rsid w:val="00D7043D"/>
    <w:rsid w:val="00D9364E"/>
    <w:rsid w:val="00DA49B9"/>
    <w:rsid w:val="00DC0FE9"/>
    <w:rsid w:val="00DC2083"/>
    <w:rsid w:val="00DE0C1B"/>
    <w:rsid w:val="00DF37E7"/>
    <w:rsid w:val="00DF582F"/>
    <w:rsid w:val="00E13B12"/>
    <w:rsid w:val="00E22D3D"/>
    <w:rsid w:val="00E35ECF"/>
    <w:rsid w:val="00E363FA"/>
    <w:rsid w:val="00E36BCF"/>
    <w:rsid w:val="00E41670"/>
    <w:rsid w:val="00E5072D"/>
    <w:rsid w:val="00E60FBF"/>
    <w:rsid w:val="00EA23F2"/>
    <w:rsid w:val="00EB6EE7"/>
    <w:rsid w:val="00EC0A3C"/>
    <w:rsid w:val="00EC162C"/>
    <w:rsid w:val="00ED0499"/>
    <w:rsid w:val="00ED0881"/>
    <w:rsid w:val="00ED762C"/>
    <w:rsid w:val="00EE2788"/>
    <w:rsid w:val="00EF36FD"/>
    <w:rsid w:val="00EF4907"/>
    <w:rsid w:val="00EF5A25"/>
    <w:rsid w:val="00F05C52"/>
    <w:rsid w:val="00F0601C"/>
    <w:rsid w:val="00F104AF"/>
    <w:rsid w:val="00F227B5"/>
    <w:rsid w:val="00F25128"/>
    <w:rsid w:val="00F2559A"/>
    <w:rsid w:val="00F56A4D"/>
    <w:rsid w:val="00F635C7"/>
    <w:rsid w:val="00F8058A"/>
    <w:rsid w:val="00F9340B"/>
    <w:rsid w:val="00FA160A"/>
    <w:rsid w:val="00FA4BC1"/>
    <w:rsid w:val="00FB7423"/>
    <w:rsid w:val="00FE798C"/>
    <w:rsid w:val="00FF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60EF"/>
  <w15:docId w15:val="{716D286C-2991-442F-9039-0D4C38DC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2C"/>
    <w:rPr>
      <w:rFonts w:ascii="Arial" w:hAnsi="Arial" w:cs="Times New Roman"/>
      <w:sz w:val="24"/>
      <w:szCs w:val="20"/>
    </w:rPr>
  </w:style>
  <w:style w:type="paragraph" w:styleId="Heading1">
    <w:name w:val="heading 1"/>
    <w:aliases w:val="Outline1"/>
    <w:basedOn w:val="Normal"/>
    <w:next w:val="Normal"/>
    <w:link w:val="Heading1Char"/>
    <w:qFormat/>
    <w:rsid w:val="007D3C36"/>
    <w:pPr>
      <w:numPr>
        <w:numId w:val="2"/>
      </w:numPr>
      <w:outlineLvl w:val="0"/>
    </w:pPr>
    <w:rPr>
      <w:b/>
      <w:kern w:val="24"/>
    </w:rPr>
  </w:style>
  <w:style w:type="paragraph" w:styleId="Heading2">
    <w:name w:val="heading 2"/>
    <w:aliases w:val="Outline2"/>
    <w:basedOn w:val="Normal"/>
    <w:next w:val="Normal"/>
    <w:link w:val="Heading2Char"/>
    <w:qFormat/>
    <w:rsid w:val="007D3C36"/>
    <w:pPr>
      <w:numPr>
        <w:ilvl w:val="1"/>
        <w:numId w:val="2"/>
      </w:numPr>
      <w:outlineLvl w:val="1"/>
    </w:pPr>
    <w:rPr>
      <w:b/>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7D3C36"/>
    <w:rPr>
      <w:rFonts w:ascii="Arial" w:hAnsi="Arial" w:cs="Times New Roman"/>
      <w:b/>
      <w:kern w:val="24"/>
      <w:sz w:val="24"/>
      <w:szCs w:val="20"/>
    </w:rPr>
  </w:style>
  <w:style w:type="character" w:customStyle="1" w:styleId="Heading2Char">
    <w:name w:val="Heading 2 Char"/>
    <w:aliases w:val="Outline2 Char"/>
    <w:basedOn w:val="DefaultParagraphFont"/>
    <w:link w:val="Heading2"/>
    <w:rsid w:val="007D3C36"/>
    <w:rPr>
      <w:rFonts w:ascii="Arial" w:hAnsi="Arial" w:cs="Times New Roman"/>
      <w:b/>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
    <w:basedOn w:val="Normal"/>
    <w:link w:val="ListParagraphChar"/>
    <w:uiPriority w:val="34"/>
    <w:qFormat/>
    <w:rsid w:val="00ED762C"/>
    <w:pPr>
      <w:ind w:left="720"/>
      <w:contextualSpacing/>
    </w:pPr>
  </w:style>
  <w:style w:type="character" w:styleId="Hyperlink">
    <w:name w:val="Hyperlink"/>
    <w:basedOn w:val="DefaultParagraphFont"/>
    <w:uiPriority w:val="99"/>
    <w:unhideWhenUsed/>
    <w:rsid w:val="00ED762C"/>
    <w:rPr>
      <w:color w:val="0000FF"/>
      <w:u w:val="single"/>
    </w:rPr>
  </w:style>
  <w:style w:type="character" w:styleId="FollowedHyperlink">
    <w:name w:val="FollowedHyperlink"/>
    <w:basedOn w:val="DefaultParagraphFont"/>
    <w:uiPriority w:val="99"/>
    <w:semiHidden/>
    <w:unhideWhenUsed/>
    <w:rsid w:val="00ED762C"/>
    <w:rPr>
      <w:color w:val="954F72" w:themeColor="followedHyperlink"/>
      <w:u w:val="single"/>
    </w:rPr>
  </w:style>
  <w:style w:type="character" w:styleId="CommentReference">
    <w:name w:val="annotation reference"/>
    <w:basedOn w:val="DefaultParagraphFont"/>
    <w:uiPriority w:val="99"/>
    <w:semiHidden/>
    <w:unhideWhenUsed/>
    <w:rsid w:val="00ED762C"/>
    <w:rPr>
      <w:sz w:val="16"/>
      <w:szCs w:val="16"/>
    </w:rPr>
  </w:style>
  <w:style w:type="paragraph" w:styleId="CommentText">
    <w:name w:val="annotation text"/>
    <w:basedOn w:val="Normal"/>
    <w:link w:val="CommentTextChar"/>
    <w:uiPriority w:val="99"/>
    <w:unhideWhenUsed/>
    <w:rsid w:val="00ED762C"/>
    <w:rPr>
      <w:sz w:val="20"/>
    </w:rPr>
  </w:style>
  <w:style w:type="character" w:customStyle="1" w:styleId="CommentTextChar">
    <w:name w:val="Comment Text Char"/>
    <w:basedOn w:val="DefaultParagraphFont"/>
    <w:link w:val="CommentText"/>
    <w:uiPriority w:val="99"/>
    <w:rsid w:val="00ED762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D762C"/>
    <w:rPr>
      <w:b/>
      <w:bCs/>
    </w:rPr>
  </w:style>
  <w:style w:type="character" w:customStyle="1" w:styleId="CommentSubjectChar">
    <w:name w:val="Comment Subject Char"/>
    <w:basedOn w:val="CommentTextChar"/>
    <w:link w:val="CommentSubject"/>
    <w:uiPriority w:val="99"/>
    <w:semiHidden/>
    <w:rsid w:val="00ED762C"/>
    <w:rPr>
      <w:rFonts w:ascii="Arial" w:hAnsi="Arial" w:cs="Times New Roman"/>
      <w:b/>
      <w:bCs/>
      <w:sz w:val="20"/>
      <w:szCs w:val="20"/>
    </w:rPr>
  </w:style>
  <w:style w:type="paragraph" w:styleId="BalloonText">
    <w:name w:val="Balloon Text"/>
    <w:basedOn w:val="Normal"/>
    <w:link w:val="BalloonTextChar"/>
    <w:uiPriority w:val="99"/>
    <w:semiHidden/>
    <w:unhideWhenUsed/>
    <w:rsid w:val="00ED7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2C"/>
    <w:rPr>
      <w:rFonts w:ascii="Segoe UI" w:hAnsi="Segoe UI" w:cs="Segoe UI"/>
      <w:sz w:val="18"/>
      <w:szCs w:val="18"/>
    </w:rPr>
  </w:style>
  <w:style w:type="paragraph" w:styleId="NormalWeb">
    <w:name w:val="Normal (Web)"/>
    <w:basedOn w:val="Normal"/>
    <w:uiPriority w:val="99"/>
    <w:unhideWhenUsed/>
    <w:rsid w:val="00ED762C"/>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ED762C"/>
    <w:rPr>
      <w:rFonts w:ascii="Arial" w:hAnsi="Arial" w:cs="Times New Roman"/>
      <w:sz w:val="24"/>
      <w:szCs w:val="20"/>
    </w:rPr>
  </w:style>
  <w:style w:type="paragraph" w:styleId="FootnoteText">
    <w:name w:val="footnote text"/>
    <w:basedOn w:val="Normal"/>
    <w:link w:val="FootnoteTextChar"/>
    <w:uiPriority w:val="99"/>
    <w:semiHidden/>
    <w:unhideWhenUsed/>
    <w:rsid w:val="00ED762C"/>
    <w:rPr>
      <w:sz w:val="20"/>
    </w:rPr>
  </w:style>
  <w:style w:type="character" w:customStyle="1" w:styleId="FootnoteTextChar">
    <w:name w:val="Footnote Text Char"/>
    <w:basedOn w:val="DefaultParagraphFont"/>
    <w:link w:val="FootnoteText"/>
    <w:uiPriority w:val="99"/>
    <w:semiHidden/>
    <w:rsid w:val="00ED762C"/>
    <w:rPr>
      <w:rFonts w:ascii="Arial" w:hAnsi="Arial" w:cs="Times New Roman"/>
      <w:sz w:val="20"/>
      <w:szCs w:val="20"/>
    </w:rPr>
  </w:style>
  <w:style w:type="character" w:styleId="FootnoteReference">
    <w:name w:val="footnote reference"/>
    <w:basedOn w:val="DefaultParagraphFont"/>
    <w:uiPriority w:val="99"/>
    <w:semiHidden/>
    <w:unhideWhenUsed/>
    <w:rsid w:val="00ED762C"/>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D762C"/>
    <w:rPr>
      <w:rFonts w:ascii="Arial" w:hAnsi="Arial" w:cs="Times New Roman"/>
      <w:sz w:val="24"/>
      <w:szCs w:val="20"/>
    </w:rPr>
  </w:style>
  <w:style w:type="paragraph" w:styleId="TOCHeading">
    <w:name w:val="TOC Heading"/>
    <w:basedOn w:val="Heading1"/>
    <w:next w:val="Normal"/>
    <w:uiPriority w:val="39"/>
    <w:unhideWhenUsed/>
    <w:qFormat/>
    <w:rsid w:val="00ED762C"/>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C227DD"/>
    <w:pPr>
      <w:tabs>
        <w:tab w:val="left" w:pos="440"/>
        <w:tab w:val="right" w:leader="dot" w:pos="9323"/>
      </w:tabs>
      <w:spacing w:after="100"/>
    </w:pPr>
  </w:style>
  <w:style w:type="table" w:styleId="TableGrid">
    <w:name w:val="Table Grid"/>
    <w:basedOn w:val="TableNormal"/>
    <w:uiPriority w:val="3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7399"/>
    <w:rPr>
      <w:b/>
      <w:bCs/>
    </w:rPr>
  </w:style>
  <w:style w:type="paragraph" w:styleId="TOC2">
    <w:name w:val="toc 2"/>
    <w:basedOn w:val="Normal"/>
    <w:next w:val="Normal"/>
    <w:autoRedefine/>
    <w:uiPriority w:val="39"/>
    <w:unhideWhenUsed/>
    <w:rsid w:val="00C227DD"/>
    <w:pPr>
      <w:tabs>
        <w:tab w:val="right" w:leader="dot" w:pos="9323"/>
      </w:tabs>
      <w:spacing w:after="100" w:line="259" w:lineRule="auto"/>
      <w:ind w:left="220"/>
    </w:pPr>
    <w:rPr>
      <w:rFonts w:eastAsiaTheme="minorEastAsia"/>
      <w:sz w:val="22"/>
      <w:szCs w:val="22"/>
      <w:lang w:eastAsia="en-GB"/>
    </w:rPr>
  </w:style>
  <w:style w:type="paragraph" w:styleId="TOC3">
    <w:name w:val="toc 3"/>
    <w:basedOn w:val="Normal"/>
    <w:next w:val="Normal"/>
    <w:autoRedefine/>
    <w:uiPriority w:val="39"/>
    <w:unhideWhenUsed/>
    <w:rsid w:val="003C4F1F"/>
    <w:pPr>
      <w:spacing w:after="100" w:line="259" w:lineRule="auto"/>
      <w:ind w:left="440"/>
    </w:pPr>
    <w:rPr>
      <w:rFonts w:asciiTheme="minorHAnsi" w:eastAsiaTheme="minorEastAsia" w:hAnsiTheme="minorHAnsi"/>
      <w:sz w:val="22"/>
      <w:szCs w:val="22"/>
      <w:lang w:eastAsia="en-GB"/>
    </w:rPr>
  </w:style>
  <w:style w:type="character" w:styleId="UnresolvedMention">
    <w:name w:val="Unresolved Mention"/>
    <w:basedOn w:val="DefaultParagraphFont"/>
    <w:uiPriority w:val="99"/>
    <w:semiHidden/>
    <w:unhideWhenUsed/>
    <w:rsid w:val="00DC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2231">
      <w:bodyDiv w:val="1"/>
      <w:marLeft w:val="0"/>
      <w:marRight w:val="0"/>
      <w:marTop w:val="0"/>
      <w:marBottom w:val="0"/>
      <w:divBdr>
        <w:top w:val="none" w:sz="0" w:space="0" w:color="auto"/>
        <w:left w:val="none" w:sz="0" w:space="0" w:color="auto"/>
        <w:bottom w:val="none" w:sz="0" w:space="0" w:color="auto"/>
        <w:right w:val="none" w:sz="0" w:space="0" w:color="auto"/>
      </w:divBdr>
    </w:div>
    <w:div w:id="500853044">
      <w:bodyDiv w:val="1"/>
      <w:marLeft w:val="0"/>
      <w:marRight w:val="0"/>
      <w:marTop w:val="0"/>
      <w:marBottom w:val="0"/>
      <w:divBdr>
        <w:top w:val="none" w:sz="0" w:space="0" w:color="auto"/>
        <w:left w:val="none" w:sz="0" w:space="0" w:color="auto"/>
        <w:bottom w:val="none" w:sz="0" w:space="0" w:color="auto"/>
        <w:right w:val="none" w:sz="0" w:space="0" w:color="auto"/>
      </w:divBdr>
    </w:div>
    <w:div w:id="703404888">
      <w:bodyDiv w:val="1"/>
      <w:marLeft w:val="0"/>
      <w:marRight w:val="0"/>
      <w:marTop w:val="0"/>
      <w:marBottom w:val="0"/>
      <w:divBdr>
        <w:top w:val="none" w:sz="0" w:space="0" w:color="auto"/>
        <w:left w:val="none" w:sz="0" w:space="0" w:color="auto"/>
        <w:bottom w:val="none" w:sz="0" w:space="0" w:color="auto"/>
        <w:right w:val="none" w:sz="0" w:space="0" w:color="auto"/>
      </w:divBdr>
    </w:div>
    <w:div w:id="743454213">
      <w:bodyDiv w:val="1"/>
      <w:marLeft w:val="0"/>
      <w:marRight w:val="0"/>
      <w:marTop w:val="0"/>
      <w:marBottom w:val="0"/>
      <w:divBdr>
        <w:top w:val="none" w:sz="0" w:space="0" w:color="auto"/>
        <w:left w:val="none" w:sz="0" w:space="0" w:color="auto"/>
        <w:bottom w:val="none" w:sz="0" w:space="0" w:color="auto"/>
        <w:right w:val="none" w:sz="0" w:space="0" w:color="auto"/>
      </w:divBdr>
    </w:div>
    <w:div w:id="876893668">
      <w:bodyDiv w:val="1"/>
      <w:marLeft w:val="0"/>
      <w:marRight w:val="0"/>
      <w:marTop w:val="0"/>
      <w:marBottom w:val="0"/>
      <w:divBdr>
        <w:top w:val="none" w:sz="0" w:space="0" w:color="auto"/>
        <w:left w:val="none" w:sz="0" w:space="0" w:color="auto"/>
        <w:bottom w:val="none" w:sz="0" w:space="0" w:color="auto"/>
        <w:right w:val="none" w:sz="0" w:space="0" w:color="auto"/>
      </w:divBdr>
    </w:div>
    <w:div w:id="961615894">
      <w:bodyDiv w:val="1"/>
      <w:marLeft w:val="0"/>
      <w:marRight w:val="0"/>
      <w:marTop w:val="0"/>
      <w:marBottom w:val="0"/>
      <w:divBdr>
        <w:top w:val="none" w:sz="0" w:space="0" w:color="auto"/>
        <w:left w:val="none" w:sz="0" w:space="0" w:color="auto"/>
        <w:bottom w:val="none" w:sz="0" w:space="0" w:color="auto"/>
        <w:right w:val="none" w:sz="0" w:space="0" w:color="auto"/>
      </w:divBdr>
    </w:div>
    <w:div w:id="1191383492">
      <w:bodyDiv w:val="1"/>
      <w:marLeft w:val="0"/>
      <w:marRight w:val="0"/>
      <w:marTop w:val="0"/>
      <w:marBottom w:val="0"/>
      <w:divBdr>
        <w:top w:val="none" w:sz="0" w:space="0" w:color="auto"/>
        <w:left w:val="none" w:sz="0" w:space="0" w:color="auto"/>
        <w:bottom w:val="none" w:sz="0" w:space="0" w:color="auto"/>
        <w:right w:val="none" w:sz="0" w:space="0" w:color="auto"/>
      </w:divBdr>
    </w:div>
    <w:div w:id="1191643641">
      <w:bodyDiv w:val="1"/>
      <w:marLeft w:val="0"/>
      <w:marRight w:val="0"/>
      <w:marTop w:val="0"/>
      <w:marBottom w:val="0"/>
      <w:divBdr>
        <w:top w:val="none" w:sz="0" w:space="0" w:color="auto"/>
        <w:left w:val="none" w:sz="0" w:space="0" w:color="auto"/>
        <w:bottom w:val="none" w:sz="0" w:space="0" w:color="auto"/>
        <w:right w:val="none" w:sz="0" w:space="0" w:color="auto"/>
      </w:divBdr>
    </w:div>
    <w:div w:id="1226601747">
      <w:bodyDiv w:val="1"/>
      <w:marLeft w:val="0"/>
      <w:marRight w:val="0"/>
      <w:marTop w:val="0"/>
      <w:marBottom w:val="0"/>
      <w:divBdr>
        <w:top w:val="none" w:sz="0" w:space="0" w:color="auto"/>
        <w:left w:val="none" w:sz="0" w:space="0" w:color="auto"/>
        <w:bottom w:val="none" w:sz="0" w:space="0" w:color="auto"/>
        <w:right w:val="none" w:sz="0" w:space="0" w:color="auto"/>
      </w:divBdr>
    </w:div>
    <w:div w:id="2065639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cotland.shinyapps.io/sg-equality-evidence-finder/" TargetMode="External"/><Relationship Id="rId1" Type="http://schemas.openxmlformats.org/officeDocument/2006/relationships/hyperlink" Target="https://www.gov.scot/publications/growth-sector-statistic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442874\Downloads\NPF%20Database%20-%2003.02.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442874\Downloads\NPF%20Database%20-%2003.02.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endParaRPr lang="en-US"/>
        </a:p>
      </c:txPr>
    </c:title>
    <c:autoTitleDeleted val="0"/>
    <c:plotArea>
      <c:layout>
        <c:manualLayout>
          <c:layoutTarget val="inner"/>
          <c:xMode val="edge"/>
          <c:yMode val="edge"/>
          <c:x val="0.12744483119867528"/>
          <c:y val="0.17041585263745465"/>
          <c:w val="0.84895001858673247"/>
          <c:h val="0.66810802554734261"/>
        </c:manualLayout>
      </c:layout>
      <c:lineChart>
        <c:grouping val="standard"/>
        <c:varyColors val="0"/>
        <c:ser>
          <c:idx val="1"/>
          <c:order val="0"/>
          <c:tx>
            <c:strRef>
              <c:f>Sheet1!$F$14375</c:f>
              <c:strCache>
                <c:ptCount val="1"/>
                <c:pt idx="0">
                  <c:v>Growth in the cultural economy</c:v>
                </c:pt>
              </c:strCache>
            </c:strRef>
          </c:tx>
          <c:spPr>
            <a:ln w="22225" cap="rnd">
              <a:solidFill>
                <a:schemeClr val="accent1"/>
              </a:solidFill>
              <a:round/>
            </a:ln>
            <a:effectLst/>
          </c:spPr>
          <c:marker>
            <c:symbol val="circle"/>
            <c:size val="4"/>
            <c:spPr>
              <a:solidFill>
                <a:schemeClr val="bg1"/>
              </a:solidFill>
              <a:ln w="15875">
                <a:solidFill>
                  <a:schemeClr val="accent1"/>
                </a:solidFill>
                <a:round/>
              </a:ln>
              <a:effectLst/>
            </c:spPr>
          </c:marker>
          <c:cat>
            <c:numRef>
              <c:f>Sheet1!$B$14375:$B$14387</c:f>
              <c:numCache>
                <c:formatCode>@</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Sheet1!$C$14375:$C$14387</c:f>
              <c:numCache>
                <c:formatCode>_-* #,##0_-;\-* #,##0_-;_-* "-"??_-;_-@_-</c:formatCode>
                <c:ptCount val="13"/>
                <c:pt idx="0">
                  <c:v>3030.5</c:v>
                </c:pt>
                <c:pt idx="1">
                  <c:v>2747.8</c:v>
                </c:pt>
                <c:pt idx="2">
                  <c:v>2708.8</c:v>
                </c:pt>
                <c:pt idx="3">
                  <c:v>2812.7</c:v>
                </c:pt>
                <c:pt idx="4">
                  <c:v>2989.9</c:v>
                </c:pt>
                <c:pt idx="5">
                  <c:v>3604.1</c:v>
                </c:pt>
                <c:pt idx="6">
                  <c:v>3757.3</c:v>
                </c:pt>
                <c:pt idx="7">
                  <c:v>4694.5</c:v>
                </c:pt>
                <c:pt idx="8">
                  <c:v>4419.3</c:v>
                </c:pt>
                <c:pt idx="9">
                  <c:v>4935.3999999999996</c:v>
                </c:pt>
                <c:pt idx="10">
                  <c:v>4576.7</c:v>
                </c:pt>
                <c:pt idx="11">
                  <c:v>4243.6000000000004</c:v>
                </c:pt>
                <c:pt idx="12">
                  <c:v>4379</c:v>
                </c:pt>
              </c:numCache>
            </c:numRef>
          </c:val>
          <c:smooth val="0"/>
          <c:extLst>
            <c:ext xmlns:c16="http://schemas.microsoft.com/office/drawing/2014/chart" uri="{C3380CC4-5D6E-409C-BE32-E72D297353CC}">
              <c16:uniqueId val="{00000000-0457-4AC4-8B51-EA5DECA88CE9}"/>
            </c:ext>
          </c:extLst>
        </c:ser>
        <c:dLbls>
          <c:showLegendKey val="0"/>
          <c:showVal val="0"/>
          <c:showCatName val="0"/>
          <c:showSerName val="0"/>
          <c:showPercent val="0"/>
          <c:showBubbleSize val="0"/>
        </c:dLbls>
        <c:marker val="1"/>
        <c:smooth val="0"/>
        <c:axId val="1197298911"/>
        <c:axId val="1197299327"/>
      </c:lineChart>
      <c:catAx>
        <c:axId val="1197298911"/>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crossAx val="1197299327"/>
        <c:crosses val="autoZero"/>
        <c:auto val="1"/>
        <c:lblAlgn val="ctr"/>
        <c:lblOffset val="100"/>
        <c:noMultiLvlLbl val="0"/>
      </c:catAx>
      <c:valAx>
        <c:axId val="1197299327"/>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r>
                  <a:rPr lang="en-GB"/>
                  <a:t>GVA £m</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crossAx val="1197298911"/>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263475636050021"/>
          <c:y val="3.7037037037037035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endParaRPr lang="en-US"/>
        </a:p>
      </c:txPr>
    </c:title>
    <c:autoTitleDeleted val="0"/>
    <c:plotArea>
      <c:layout>
        <c:manualLayout>
          <c:layoutTarget val="inner"/>
          <c:xMode val="edge"/>
          <c:yMode val="edge"/>
          <c:x val="0.13823905905681583"/>
          <c:y val="0.15462962962962962"/>
          <c:w val="0.83804382149514622"/>
          <c:h val="0.71606700204141138"/>
        </c:manualLayout>
      </c:layout>
      <c:lineChart>
        <c:grouping val="standard"/>
        <c:varyColors val="0"/>
        <c:ser>
          <c:idx val="0"/>
          <c:order val="0"/>
          <c:tx>
            <c:strRef>
              <c:f>Sheet1!$F$16434</c:f>
              <c:strCache>
                <c:ptCount val="1"/>
                <c:pt idx="0">
                  <c:v>People working in Arts and Culture</c:v>
                </c:pt>
              </c:strCache>
            </c:strRef>
          </c:tx>
          <c:spPr>
            <a:ln w="22225" cap="rnd">
              <a:solidFill>
                <a:schemeClr val="accent1"/>
              </a:solidFill>
              <a:round/>
            </a:ln>
            <a:effectLst/>
          </c:spPr>
          <c:marker>
            <c:symbol val="circle"/>
            <c:size val="4"/>
            <c:spPr>
              <a:solidFill>
                <a:schemeClr val="lt1"/>
              </a:solidFill>
              <a:ln w="15875">
                <a:solidFill>
                  <a:schemeClr val="accent1"/>
                </a:solidFill>
                <a:round/>
              </a:ln>
              <a:effectLst/>
            </c:spPr>
          </c:marker>
          <c:cat>
            <c:numRef>
              <c:f>Sheet1!$B$16429:$B$16441</c:f>
              <c:numCache>
                <c:formatCode>@</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Sheet1!$C$16429:$C$16441</c:f>
              <c:numCache>
                <c:formatCode>_-* #,##0_-;\-* #,##0_-;_-* "-"??_-;_-@_-</c:formatCode>
                <c:ptCount val="13"/>
                <c:pt idx="0">
                  <c:v>76000</c:v>
                </c:pt>
                <c:pt idx="1">
                  <c:v>71900</c:v>
                </c:pt>
                <c:pt idx="2">
                  <c:v>64100</c:v>
                </c:pt>
                <c:pt idx="3">
                  <c:v>65200</c:v>
                </c:pt>
                <c:pt idx="4">
                  <c:v>68600</c:v>
                </c:pt>
                <c:pt idx="5">
                  <c:v>71800</c:v>
                </c:pt>
                <c:pt idx="6">
                  <c:v>73000</c:v>
                </c:pt>
                <c:pt idx="7">
                  <c:v>84000</c:v>
                </c:pt>
                <c:pt idx="8">
                  <c:v>77000</c:v>
                </c:pt>
                <c:pt idx="9">
                  <c:v>87000</c:v>
                </c:pt>
                <c:pt idx="10">
                  <c:v>90000</c:v>
                </c:pt>
                <c:pt idx="11">
                  <c:v>87000</c:v>
                </c:pt>
                <c:pt idx="12">
                  <c:v>78000</c:v>
                </c:pt>
              </c:numCache>
            </c:numRef>
          </c:val>
          <c:smooth val="0"/>
          <c:extLst>
            <c:ext xmlns:c16="http://schemas.microsoft.com/office/drawing/2014/chart" uri="{C3380CC4-5D6E-409C-BE32-E72D297353CC}">
              <c16:uniqueId val="{00000000-B73B-4236-B54E-2A53CC65293F}"/>
            </c:ext>
          </c:extLst>
        </c:ser>
        <c:dLbls>
          <c:showLegendKey val="0"/>
          <c:showVal val="0"/>
          <c:showCatName val="0"/>
          <c:showSerName val="0"/>
          <c:showPercent val="0"/>
          <c:showBubbleSize val="0"/>
        </c:dLbls>
        <c:marker val="1"/>
        <c:smooth val="0"/>
        <c:axId val="625325135"/>
        <c:axId val="625330959"/>
      </c:lineChart>
      <c:catAx>
        <c:axId val="625325135"/>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crossAx val="625330959"/>
        <c:crosses val="autoZero"/>
        <c:auto val="1"/>
        <c:lblAlgn val="ctr"/>
        <c:lblOffset val="100"/>
        <c:noMultiLvlLbl val="0"/>
      </c:catAx>
      <c:valAx>
        <c:axId val="625330959"/>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r>
                  <a:rPr lang="en-GB"/>
                  <a:t>No. of Jobs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crossAx val="62532513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A42745132</value>
    </field>
    <field name="Objective-Title">
      <value order="0">NPF - Technical note addendum - June 2023</value>
    </field>
    <field name="Objective-Description">
      <value order="0"/>
    </field>
    <field name="Objective-CreationStamp">
      <value order="0">2023-03-01T16:01:29Z</value>
    </field>
    <field name="Objective-IsApproved">
      <value order="0">false</value>
    </field>
    <field name="Objective-IsPublished">
      <value order="0">false</value>
    </field>
    <field name="Objective-DatePublished">
      <value order="0"/>
    </field>
    <field name="Objective-ModificationStamp">
      <value order="0">2023-06-15T06:50:57Z</value>
    </field>
    <field name="Objective-Owner">
      <value order="0">O'Neil, Andrew A (U442874)</value>
    </field>
    <field name="Objective-Path">
      <value order="0">Objective Global Folder:SG File Plan:Administration:Corporate strategy:Strategy and change:Research and analysis: Strategy and change:National Performance Framework: Strategic Analysis: Culture economy indicators: Development: 2019-2024</value>
    </field>
    <field name="Objective-Parent">
      <value order="0">National Performance Framework: Strategic Analysis: Culture economy indicators: Development: 2019-2024</value>
    </field>
    <field name="Objective-State">
      <value order="0">Being Drafted</value>
    </field>
    <field name="Objective-VersionId">
      <value order="0">vA65896137</value>
    </field>
    <field name="Objective-Version">
      <value order="0">0.18</value>
    </field>
    <field name="Objective-VersionNumber">
      <value order="0">18</value>
    </field>
    <field name="Objective-VersionComment">
      <value order="0"/>
    </field>
    <field name="Objective-FileNumber">
      <value order="0">PROJ/32044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C5E9C54-6458-40BC-8D22-37F8AED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A (Andrew)</dc:creator>
  <cp:keywords/>
  <dc:description/>
  <cp:lastModifiedBy>Alexander Borda- rodriguez</cp:lastModifiedBy>
  <cp:revision>3</cp:revision>
  <dcterms:created xsi:type="dcterms:W3CDTF">2023-06-15T06:51:00Z</dcterms:created>
  <dcterms:modified xsi:type="dcterms:W3CDTF">2023-06-22T11:10:00Z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A42745132</vt:lpwstr>
  </property>
  <property fmtid="{D5CDD505-2E9C-101B-9397-08002B2CF9AE}" pid="4" name="Objective-Title">
    <vt:lpwstr>NPF - Technical note addendum - June 2023</vt:lpwstr>
  </property>
  <property fmtid="{D5CDD505-2E9C-101B-9397-08002B2CF9AE}" pid="5" name="Objective-Description">
    <vt:lpwstr/>
  </property>
  <property fmtid="{D5CDD505-2E9C-101B-9397-08002B2CF9AE}" pid="6" name="Objective-CreationStamp">
    <vt:filetime>2023-03-01T16:01:29Z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2023-06-15T06:50:57Z</vt:filetime>
  </property>
  <property fmtid="{D5CDD505-2E9C-101B-9397-08002B2CF9AE}" pid="11" name="Objective-Owner">
    <vt:lpwstr>O'Neil, Andrew A (U442874)</vt:lpwstr>
  </property>
  <property fmtid="{D5CDD505-2E9C-101B-9397-08002B2CF9AE}" pid="12" name="Objective-Path">
    <vt:lpwstr>Objective Global Folder:SG File Plan:Administration:Corporate strategy:Strategy and change:Research and analysis: Strategy and change:National Performance Framework: Strategic Analysis: Culture economy indicators: Development: 2019-2024</vt:lpwstr>
  </property>
  <property fmtid="{D5CDD505-2E9C-101B-9397-08002B2CF9AE}" pid="13" name="Objective-Parent">
    <vt:lpwstr>National Performance Framework: Strategic Analysis: Culture economy indicators: Development: 2019-2024</vt:lpwstr>
  </property>
  <property fmtid="{D5CDD505-2E9C-101B-9397-08002B2CF9AE}" pid="14" name="Objective-State">
    <vt:lpwstr>Being Drafted</vt:lpwstr>
  </property>
  <property fmtid="{D5CDD505-2E9C-101B-9397-08002B2CF9AE}" pid="15" name="Objective-VersionId">
    <vt:lpwstr>vA65896137</vt:lpwstr>
  </property>
  <property fmtid="{D5CDD505-2E9C-101B-9397-08002B2CF9AE}" pid="16" name="Objective-Version">
    <vt:lpwstr>0.18</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PROJ/32044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